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10" w:rsidRDefault="00680510">
      <w:r w:rsidRPr="00217F41">
        <w:rPr>
          <w:rFonts w:ascii="Cambria" w:hAnsi="Cambria"/>
          <w:noProof/>
          <w:spacing w:val="-4"/>
          <w:lang w:eastAsia="tr-TR"/>
        </w:rPr>
        <w:drawing>
          <wp:inline distT="0" distB="0" distL="0" distR="0" wp14:anchorId="08CF1F38" wp14:editId="0CED59D9">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2715"/>
        <w:gridCol w:w="6347"/>
      </w:tblGrid>
      <w:tr w:rsidR="00A914B6" w:rsidRPr="00DB2FEC" w:rsidTr="00680510">
        <w:tc>
          <w:tcPr>
            <w:tcW w:w="9062" w:type="dxa"/>
            <w:gridSpan w:val="2"/>
          </w:tcPr>
          <w:p w:rsidR="00A914B6" w:rsidRPr="00DB2FEC" w:rsidRDefault="00A914B6" w:rsidP="00680510">
            <w:pPr>
              <w:spacing w:line="260" w:lineRule="atLeast"/>
              <w:jc w:val="center"/>
              <w:outlineLvl w:val="0"/>
              <w:rPr>
                <w:rFonts w:eastAsia="Times New Roman" w:cs="Times New Roman"/>
                <w:b/>
                <w:color w:val="000099"/>
                <w:szCs w:val="24"/>
                <w:lang w:eastAsia="tr-TR"/>
              </w:rPr>
            </w:pPr>
            <w:r w:rsidRPr="00DB2FEC">
              <w:rPr>
                <w:rFonts w:eastAsia="Times New Roman" w:cs="Times New Roman"/>
                <w:b/>
                <w:color w:val="000099"/>
                <w:szCs w:val="24"/>
                <w:lang w:eastAsia="tr-TR"/>
              </w:rPr>
              <w:t>BAKIŞ MEVZUAT</w:t>
            </w:r>
          </w:p>
          <w:p w:rsidR="00A914B6" w:rsidRPr="00DB2FEC" w:rsidRDefault="00A914B6" w:rsidP="00EA4F97">
            <w:pPr>
              <w:spacing w:line="260" w:lineRule="atLeast"/>
              <w:outlineLvl w:val="0"/>
              <w:rPr>
                <w:rFonts w:eastAsia="Times New Roman" w:cs="Times New Roman"/>
                <w:b/>
                <w:color w:val="000099"/>
                <w:szCs w:val="24"/>
                <w:lang w:eastAsia="tr-TR"/>
              </w:rPr>
            </w:pPr>
          </w:p>
        </w:tc>
      </w:tr>
      <w:tr w:rsidR="00A914B6" w:rsidRPr="004B2767" w:rsidTr="00680510">
        <w:tc>
          <w:tcPr>
            <w:tcW w:w="2369" w:type="dxa"/>
          </w:tcPr>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BAŞLIK </w:t>
            </w:r>
          </w:p>
        </w:tc>
        <w:tc>
          <w:tcPr>
            <w:tcW w:w="6693" w:type="dxa"/>
          </w:tcPr>
          <w:p w:rsidR="00A914B6" w:rsidRPr="00DB2FEC" w:rsidRDefault="00A914B6" w:rsidP="00EA4F97">
            <w:pPr>
              <w:shd w:val="clear" w:color="auto" w:fill="FFFFFF"/>
              <w:spacing w:line="260" w:lineRule="atLeast"/>
              <w:jc w:val="center"/>
              <w:rPr>
                <w:rFonts w:eastAsia="Times New Roman" w:cs="Times New Roman"/>
                <w:bCs/>
                <w:color w:val="000099"/>
                <w:spacing w:val="-6"/>
                <w:szCs w:val="24"/>
                <w:lang w:eastAsia="tr-TR"/>
              </w:rPr>
            </w:pPr>
          </w:p>
          <w:p w:rsidR="00A914B6" w:rsidRPr="004B2767" w:rsidRDefault="00777753" w:rsidP="00EA4F97">
            <w:pPr>
              <w:shd w:val="clear" w:color="auto" w:fill="FFFFFF"/>
              <w:rPr>
                <w:rFonts w:eastAsia="Times New Roman" w:cs="Times New Roman"/>
                <w:b/>
                <w:bCs/>
                <w:caps/>
                <w:color w:val="000099"/>
                <w:spacing w:val="-6"/>
                <w:szCs w:val="24"/>
                <w:lang w:eastAsia="tr-TR"/>
              </w:rPr>
            </w:pPr>
            <w:proofErr w:type="gramStart"/>
            <w:r w:rsidRPr="00777753">
              <w:rPr>
                <w:rFonts w:eastAsia="Times New Roman" w:cs="Times New Roman"/>
                <w:b/>
                <w:bCs/>
                <w:caps/>
                <w:color w:val="000099"/>
                <w:spacing w:val="-6"/>
                <w:szCs w:val="24"/>
                <w:lang w:eastAsia="tr-TR"/>
              </w:rPr>
              <w:t>13/3/2017</w:t>
            </w:r>
            <w:proofErr w:type="gramEnd"/>
            <w:r w:rsidRPr="00777753">
              <w:rPr>
                <w:rFonts w:eastAsia="Times New Roman" w:cs="Times New Roman"/>
                <w:b/>
                <w:bCs/>
                <w:caps/>
                <w:color w:val="000099"/>
                <w:spacing w:val="-6"/>
                <w:szCs w:val="24"/>
                <w:lang w:eastAsia="tr-TR"/>
              </w:rPr>
              <w:t xml:space="preserve"> tarihli ve 2017/9973 sayılı Bakanlar Kurulu</w:t>
            </w:r>
            <w:r>
              <w:rPr>
                <w:rFonts w:eastAsia="Times New Roman" w:cs="Times New Roman"/>
                <w:b/>
                <w:bCs/>
                <w:caps/>
                <w:color w:val="000099"/>
                <w:spacing w:val="-6"/>
                <w:szCs w:val="24"/>
                <w:lang w:eastAsia="tr-TR"/>
              </w:rPr>
              <w:t xml:space="preserve"> KARARı</w:t>
            </w:r>
          </w:p>
        </w:tc>
      </w:tr>
      <w:tr w:rsidR="00A914B6" w:rsidRPr="00DB2FEC" w:rsidTr="00680510">
        <w:tc>
          <w:tcPr>
            <w:tcW w:w="2369" w:type="dxa"/>
          </w:tcPr>
          <w:p w:rsidR="00A914B6" w:rsidRPr="00DB2FEC" w:rsidRDefault="00A914B6" w:rsidP="00EA4F97">
            <w:pPr>
              <w:spacing w:before="120" w:after="120"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Sayı </w:t>
            </w:r>
          </w:p>
        </w:tc>
        <w:tc>
          <w:tcPr>
            <w:tcW w:w="6693" w:type="dxa"/>
          </w:tcPr>
          <w:p w:rsidR="00A914B6" w:rsidRPr="00DB2FEC" w:rsidRDefault="00680510" w:rsidP="00EA4F97">
            <w:pPr>
              <w:spacing w:before="120" w:after="120" w:line="260" w:lineRule="atLeast"/>
              <w:outlineLvl w:val="0"/>
              <w:rPr>
                <w:rFonts w:eastAsia="Times New Roman" w:cs="Times New Roman"/>
                <w:color w:val="000099"/>
                <w:szCs w:val="24"/>
                <w:lang w:eastAsia="tr-TR"/>
              </w:rPr>
            </w:pPr>
            <w:r>
              <w:rPr>
                <w:rFonts w:eastAsia="Times New Roman" w:cs="Times New Roman"/>
                <w:color w:val="000099"/>
                <w:szCs w:val="24"/>
                <w:lang w:eastAsia="tr-TR"/>
              </w:rPr>
              <w:t>2017/51</w:t>
            </w:r>
          </w:p>
        </w:tc>
      </w:tr>
      <w:tr w:rsidR="00A914B6" w:rsidRPr="00DB2FEC" w:rsidTr="00680510">
        <w:tc>
          <w:tcPr>
            <w:tcW w:w="2369" w:type="dxa"/>
          </w:tcPr>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ÖZET </w:t>
            </w:r>
          </w:p>
        </w:tc>
        <w:tc>
          <w:tcPr>
            <w:tcW w:w="6693" w:type="dxa"/>
          </w:tcPr>
          <w:p w:rsidR="00A914B6" w:rsidRDefault="00A914B6" w:rsidP="00EA4F97">
            <w:pPr>
              <w:shd w:val="clear" w:color="auto" w:fill="FFFFFF"/>
              <w:rPr>
                <w:rFonts w:eastAsia="Times New Roman" w:cs="Times New Roman"/>
                <w:color w:val="494949"/>
                <w:szCs w:val="24"/>
                <w:shd w:val="clear" w:color="auto" w:fill="FFFFFF"/>
                <w:lang w:eastAsia="en-GB"/>
              </w:rPr>
            </w:pPr>
          </w:p>
          <w:p w:rsidR="00A914B6" w:rsidRPr="00DB2FEC" w:rsidRDefault="00600EBB" w:rsidP="00EA4F97">
            <w:pPr>
              <w:shd w:val="clear" w:color="auto" w:fill="FFFFFF"/>
              <w:rPr>
                <w:rFonts w:eastAsia="Times New Roman" w:cs="Times New Roman"/>
                <w:bCs/>
                <w:color w:val="000099"/>
                <w:spacing w:val="-6"/>
                <w:szCs w:val="24"/>
                <w:lang w:eastAsia="tr-TR"/>
              </w:rPr>
            </w:pPr>
            <w:r>
              <w:rPr>
                <w:rFonts w:eastAsia="Times New Roman" w:cs="Times New Roman"/>
                <w:color w:val="000000" w:themeColor="text1"/>
                <w:szCs w:val="24"/>
                <w:shd w:val="clear" w:color="auto" w:fill="FFFFFF"/>
                <w:lang w:eastAsia="en-GB"/>
              </w:rPr>
              <w:t xml:space="preserve">Damga, harçlar ve KKDF oranlarında değişiklik yapıldı. </w:t>
            </w:r>
            <w:r w:rsidR="002A3824" w:rsidRPr="002A3824">
              <w:rPr>
                <w:rFonts w:eastAsia="Times New Roman" w:cs="Times New Roman"/>
                <w:color w:val="000000" w:themeColor="text1"/>
                <w:szCs w:val="24"/>
                <w:shd w:val="clear" w:color="auto" w:fill="FFFFFF"/>
                <w:lang w:eastAsia="en-GB"/>
              </w:rPr>
              <w:t xml:space="preserve"> </w:t>
            </w:r>
          </w:p>
        </w:tc>
      </w:tr>
      <w:tr w:rsidR="00A914B6" w:rsidRPr="00831129" w:rsidTr="00680510">
        <w:tc>
          <w:tcPr>
            <w:tcW w:w="9062" w:type="dxa"/>
            <w:gridSpan w:val="2"/>
          </w:tcPr>
          <w:p w:rsidR="00600EBB" w:rsidRDefault="00600EBB" w:rsidP="00777753">
            <w:pPr>
              <w:rPr>
                <w:rFonts w:ascii="Arial" w:hAnsi="Arial" w:cs="Arial"/>
                <w:szCs w:val="24"/>
              </w:rPr>
            </w:pPr>
          </w:p>
          <w:p w:rsidR="00777753" w:rsidRPr="006F1076" w:rsidRDefault="00777753" w:rsidP="00777753">
            <w:pPr>
              <w:rPr>
                <w:rFonts w:cs="Times New Roman"/>
                <w:b/>
                <w:szCs w:val="24"/>
              </w:rPr>
            </w:pPr>
            <w:proofErr w:type="gramStart"/>
            <w:r w:rsidRPr="006F1076">
              <w:rPr>
                <w:rFonts w:cs="Times New Roman"/>
                <w:szCs w:val="24"/>
              </w:rPr>
              <w:t>5/3/2017</w:t>
            </w:r>
            <w:proofErr w:type="gramEnd"/>
            <w:r w:rsidRPr="006F1076">
              <w:rPr>
                <w:rFonts w:cs="Times New Roman"/>
                <w:szCs w:val="24"/>
              </w:rPr>
              <w:t xml:space="preserve"> tarihli ve 30008 sayılı Resmi Gazete’de yayımlanan 13/3/2017 tarihli ve 2017/9973 sayılı Bakanlar Kurulu Eki Karar ile</w:t>
            </w:r>
            <w:r w:rsidRPr="006F1076">
              <w:rPr>
                <w:rFonts w:cs="Times New Roman"/>
                <w:b/>
                <w:szCs w:val="24"/>
              </w:rPr>
              <w:t xml:space="preserve"> </w:t>
            </w:r>
          </w:p>
          <w:p w:rsidR="00777753" w:rsidRPr="006F1076" w:rsidRDefault="00777753" w:rsidP="00777753">
            <w:pPr>
              <w:numPr>
                <w:ilvl w:val="0"/>
                <w:numId w:val="3"/>
              </w:numPr>
              <w:spacing w:after="160"/>
              <w:contextualSpacing/>
              <w:rPr>
                <w:rFonts w:cs="Times New Roman"/>
                <w:szCs w:val="24"/>
                <w:shd w:val="clear" w:color="auto" w:fill="FFFFFF"/>
              </w:rPr>
            </w:pPr>
            <w:r w:rsidRPr="006F1076">
              <w:rPr>
                <w:rFonts w:cs="Times New Roman"/>
                <w:szCs w:val="24"/>
                <w:shd w:val="clear" w:color="auto" w:fill="FFFFFF"/>
              </w:rPr>
              <w:t xml:space="preserve">488 sayılı Damga Vergisi Kanununa ekli (1) sayılı tabloda yer alan </w:t>
            </w:r>
            <w:r w:rsidRPr="00600EBB">
              <w:rPr>
                <w:rFonts w:cs="Times New Roman"/>
                <w:szCs w:val="24"/>
                <w:shd w:val="clear" w:color="auto" w:fill="FFFFFF"/>
              </w:rPr>
              <w:t xml:space="preserve">ve 6824 sayılı Kanunun 5’inci </w:t>
            </w:r>
            <w:proofErr w:type="gramStart"/>
            <w:r w:rsidRPr="00600EBB">
              <w:rPr>
                <w:rFonts w:cs="Times New Roman"/>
                <w:szCs w:val="24"/>
                <w:shd w:val="clear" w:color="auto" w:fill="FFFFFF"/>
              </w:rPr>
              <w:t>maddesi  ile</w:t>
            </w:r>
            <w:proofErr w:type="gramEnd"/>
            <w:r w:rsidRPr="00600EBB">
              <w:rPr>
                <w:rFonts w:cs="Times New Roman"/>
                <w:szCs w:val="24"/>
                <w:shd w:val="clear" w:color="auto" w:fill="FFFFFF"/>
              </w:rPr>
              <w:t xml:space="preserve"> eklenen </w:t>
            </w:r>
            <w:r w:rsidRPr="006F1076">
              <w:rPr>
                <w:rFonts w:cs="Times New Roman"/>
                <w:szCs w:val="24"/>
                <w:shd w:val="clear" w:color="auto" w:fill="FFFFFF"/>
              </w:rPr>
              <w:t xml:space="preserve">kâğıtlara ait damga vergisi oranları, </w:t>
            </w:r>
          </w:p>
          <w:p w:rsidR="00777753" w:rsidRPr="006F1076" w:rsidRDefault="00777753" w:rsidP="00777753">
            <w:pPr>
              <w:numPr>
                <w:ilvl w:val="0"/>
                <w:numId w:val="3"/>
              </w:numPr>
              <w:spacing w:after="160"/>
              <w:contextualSpacing/>
              <w:rPr>
                <w:rFonts w:cs="Times New Roman"/>
                <w:szCs w:val="24"/>
                <w:shd w:val="clear" w:color="auto" w:fill="FFFFFF"/>
              </w:rPr>
            </w:pPr>
            <w:r w:rsidRPr="006F1076">
              <w:rPr>
                <w:rFonts w:cs="Times New Roman"/>
                <w:szCs w:val="24"/>
                <w:shd w:val="clear" w:color="auto" w:fill="FFFFFF"/>
              </w:rPr>
              <w:t>492 sayılı Harçlar Kanununa</w:t>
            </w:r>
            <w:r w:rsidRPr="00600EBB">
              <w:rPr>
                <w:rFonts w:cs="Times New Roman"/>
                <w:szCs w:val="24"/>
                <w:shd w:val="clear" w:color="auto" w:fill="FFFFFF"/>
              </w:rPr>
              <w:t> </w:t>
            </w:r>
            <w:r w:rsidRPr="006F1076">
              <w:rPr>
                <w:rFonts w:cs="Times New Roman"/>
                <w:szCs w:val="24"/>
                <w:shd w:val="clear" w:color="auto" w:fill="FFFFFF"/>
              </w:rPr>
              <w:t xml:space="preserve">bağlı (4) sayılı tarifenin "I-Tapu İşlemleri" başlıklı bölümünün 20/a fıkrasında sayılan tapu işlemleri üzerinden alınan tapu harcı oranı </w:t>
            </w:r>
          </w:p>
          <w:p w:rsidR="00777753" w:rsidRPr="006F1076" w:rsidRDefault="00777753" w:rsidP="00777753">
            <w:pPr>
              <w:numPr>
                <w:ilvl w:val="0"/>
                <w:numId w:val="3"/>
              </w:numPr>
              <w:spacing w:after="160"/>
              <w:contextualSpacing/>
              <w:rPr>
                <w:rFonts w:cs="Times New Roman"/>
                <w:szCs w:val="24"/>
                <w:shd w:val="clear" w:color="auto" w:fill="FFFFFF"/>
              </w:rPr>
            </w:pPr>
            <w:proofErr w:type="gramStart"/>
            <w:r w:rsidRPr="006F1076">
              <w:rPr>
                <w:rFonts w:cs="Times New Roman"/>
                <w:szCs w:val="24"/>
                <w:shd w:val="clear" w:color="auto" w:fill="FFFFFF"/>
              </w:rPr>
              <w:t>yurt</w:t>
            </w:r>
            <w:proofErr w:type="gramEnd"/>
            <w:r w:rsidRPr="006F1076">
              <w:rPr>
                <w:rFonts w:cs="Times New Roman"/>
                <w:szCs w:val="24"/>
                <w:shd w:val="clear" w:color="auto" w:fill="FFFFFF"/>
              </w:rPr>
              <w:t xml:space="preserve"> dışından kullanılan bazı kredilerde Kaynak Kullanımını Destekleme Fonu kesintisi oranları </w:t>
            </w:r>
          </w:p>
          <w:p w:rsidR="00777753" w:rsidRPr="00600EBB" w:rsidRDefault="00777753" w:rsidP="00777753">
            <w:pPr>
              <w:rPr>
                <w:rFonts w:cs="Times New Roman"/>
                <w:szCs w:val="24"/>
                <w:shd w:val="clear" w:color="auto" w:fill="FFFFFF"/>
              </w:rPr>
            </w:pPr>
            <w:proofErr w:type="gramStart"/>
            <w:r w:rsidRPr="006F1076">
              <w:rPr>
                <w:rFonts w:cs="Times New Roman"/>
                <w:szCs w:val="24"/>
                <w:shd w:val="clear" w:color="auto" w:fill="FFFFFF"/>
              </w:rPr>
              <w:t>yeniden</w:t>
            </w:r>
            <w:proofErr w:type="gramEnd"/>
            <w:r w:rsidRPr="006F1076">
              <w:rPr>
                <w:rFonts w:cs="Times New Roman"/>
                <w:szCs w:val="24"/>
                <w:shd w:val="clear" w:color="auto" w:fill="FFFFFF"/>
              </w:rPr>
              <w:t xml:space="preserve"> belirlen</w:t>
            </w:r>
            <w:r w:rsidRPr="00600EBB">
              <w:rPr>
                <w:rFonts w:cs="Times New Roman"/>
                <w:szCs w:val="24"/>
                <w:shd w:val="clear" w:color="auto" w:fill="FFFFFF"/>
              </w:rPr>
              <w:t xml:space="preserve">di. </w:t>
            </w:r>
          </w:p>
          <w:p w:rsidR="00777753" w:rsidRPr="00600EBB" w:rsidRDefault="00777753" w:rsidP="00777753">
            <w:pPr>
              <w:rPr>
                <w:rFonts w:cs="Times New Roman"/>
                <w:b/>
                <w:szCs w:val="24"/>
                <w:shd w:val="clear" w:color="auto" w:fill="FFFFFF"/>
              </w:rPr>
            </w:pPr>
            <w:r w:rsidRPr="00600EBB">
              <w:rPr>
                <w:rFonts w:cs="Times New Roman"/>
                <w:b/>
                <w:szCs w:val="24"/>
                <w:shd w:val="clear" w:color="auto" w:fill="FFFFFF"/>
              </w:rPr>
              <w:t xml:space="preserve">Damga Vergisi Kanunu’nda Yapılan Değişiklik </w:t>
            </w:r>
          </w:p>
          <w:p w:rsidR="00777753" w:rsidRPr="0039706E" w:rsidRDefault="00777753" w:rsidP="00777753">
            <w:pPr>
              <w:rPr>
                <w:rFonts w:cs="Times New Roman"/>
                <w:szCs w:val="24"/>
              </w:rPr>
            </w:pPr>
            <w:r w:rsidRPr="0039706E">
              <w:rPr>
                <w:rFonts w:cs="Times New Roman"/>
                <w:szCs w:val="24"/>
              </w:rPr>
              <w:t xml:space="preserve">2017/9973 sayılı BKK </w:t>
            </w:r>
            <w:proofErr w:type="gramStart"/>
            <w:r w:rsidRPr="0039706E">
              <w:rPr>
                <w:rFonts w:cs="Times New Roman"/>
                <w:szCs w:val="24"/>
              </w:rPr>
              <w:t xml:space="preserve">ile  </w:t>
            </w:r>
            <w:r w:rsidRPr="00600EBB">
              <w:rPr>
                <w:rFonts w:cs="Times New Roman"/>
                <w:szCs w:val="24"/>
              </w:rPr>
              <w:t>23</w:t>
            </w:r>
            <w:proofErr w:type="gramEnd"/>
            <w:r w:rsidRPr="00600EBB">
              <w:rPr>
                <w:rFonts w:cs="Times New Roman"/>
                <w:szCs w:val="24"/>
              </w:rPr>
              <w:t xml:space="preserve">/2/2017 tarihli  ve  6824 sayılı Kanunun 5’inci maddesi ile Damga Vergisi Kanununa eklenen ve Binde 9,48 oranında damga vergisine tabi  aşağıdaki kağıtların damga vergisi oranı % 0 olarak belirlenmiştir.  </w:t>
            </w:r>
          </w:p>
          <w:p w:rsidR="00777753" w:rsidRPr="00600EBB" w:rsidRDefault="00777753" w:rsidP="00777753">
            <w:pPr>
              <w:rPr>
                <w:rFonts w:cs="Times New Roman"/>
                <w:szCs w:val="24"/>
                <w:shd w:val="clear" w:color="auto" w:fill="FFFFFF"/>
              </w:rPr>
            </w:pPr>
          </w:p>
          <w:p w:rsidR="00777753" w:rsidRPr="006F1076" w:rsidRDefault="00777753" w:rsidP="00777753">
            <w:pPr>
              <w:rPr>
                <w:rFonts w:cs="Times New Roman"/>
                <w:szCs w:val="24"/>
                <w:shd w:val="clear" w:color="auto" w:fill="FFFFFF"/>
              </w:rPr>
            </w:pPr>
          </w:p>
          <w:tbl>
            <w:tblPr>
              <w:tblW w:w="9379" w:type="dxa"/>
              <w:tblInd w:w="71" w:type="dxa"/>
              <w:tblCellMar>
                <w:left w:w="70" w:type="dxa"/>
                <w:right w:w="70" w:type="dxa"/>
              </w:tblCellMar>
              <w:tblLook w:val="0000" w:firstRow="0" w:lastRow="0" w:firstColumn="0" w:lastColumn="0" w:noHBand="0" w:noVBand="0"/>
            </w:tblPr>
            <w:tblGrid>
              <w:gridCol w:w="9379"/>
            </w:tblGrid>
            <w:tr w:rsidR="00777753" w:rsidRPr="00600EBB" w:rsidTr="00600EBB">
              <w:trPr>
                <w:trHeight w:val="743"/>
              </w:trPr>
              <w:tc>
                <w:tcPr>
                  <w:tcW w:w="9379" w:type="dxa"/>
                </w:tcPr>
                <w:p w:rsidR="00777753" w:rsidRPr="00600EBB" w:rsidRDefault="00777753" w:rsidP="00600EBB">
                  <w:pPr>
                    <w:pStyle w:val="ListeParagraf"/>
                    <w:numPr>
                      <w:ilvl w:val="0"/>
                      <w:numId w:val="5"/>
                    </w:numPr>
                    <w:rPr>
                      <w:rFonts w:cs="Times New Roman"/>
                      <w:szCs w:val="24"/>
                    </w:rPr>
                  </w:pPr>
                  <w:r w:rsidRPr="00600EBB">
                    <w:rPr>
                      <w:rFonts w:cs="Times New Roman"/>
                      <w:szCs w:val="24"/>
                    </w:rPr>
                    <w:lastRenderedPageBreak/>
                    <w:t>Resmi şekilde düzenlenen kat karşılığı veya hasılat paylaşımı inşaat sözleşmeleri</w:t>
                  </w:r>
                </w:p>
              </w:tc>
            </w:tr>
            <w:tr w:rsidR="00777753" w:rsidRPr="00600EBB" w:rsidTr="00BB4627">
              <w:trPr>
                <w:trHeight w:val="172"/>
              </w:trPr>
              <w:tc>
                <w:tcPr>
                  <w:tcW w:w="9379" w:type="dxa"/>
                </w:tcPr>
                <w:p w:rsidR="00777753" w:rsidRPr="00600EBB" w:rsidRDefault="00777753" w:rsidP="00600EBB">
                  <w:pPr>
                    <w:pStyle w:val="ListeParagraf"/>
                    <w:numPr>
                      <w:ilvl w:val="0"/>
                      <w:numId w:val="5"/>
                    </w:numPr>
                    <w:rPr>
                      <w:rFonts w:cs="Times New Roman"/>
                      <w:szCs w:val="24"/>
                    </w:rPr>
                  </w:pPr>
                  <w:r w:rsidRPr="00600EBB">
                    <w:rPr>
                      <w:rFonts w:cs="Times New Roman"/>
                      <w:szCs w:val="24"/>
                    </w:rPr>
                    <w:t xml:space="preserve">Resmi şekilde düzenlenen kat karşılığı veya hasılat paylaşımı inşaat sözleşmeleri kapsamında yapı </w:t>
                  </w:r>
                  <w:proofErr w:type="gramStart"/>
                  <w:r w:rsidRPr="00600EBB">
                    <w:rPr>
                      <w:rFonts w:cs="Times New Roman"/>
                      <w:szCs w:val="24"/>
                    </w:rPr>
                    <w:t>müteahhitleri</w:t>
                  </w:r>
                  <w:proofErr w:type="gramEnd"/>
                  <w:r w:rsidRPr="00600EBB">
                    <w:rPr>
                      <w:rFonts w:cs="Times New Roman"/>
                      <w:szCs w:val="24"/>
                    </w:rPr>
                    <w:t xml:space="preserve"> ile alt yükleniciler arasında düzenlenen inşaat taahhüt sözleşmeleri</w:t>
                  </w:r>
                </w:p>
              </w:tc>
            </w:tr>
            <w:tr w:rsidR="00777753" w:rsidRPr="00600EBB" w:rsidTr="00BB4627">
              <w:trPr>
                <w:trHeight w:val="172"/>
              </w:trPr>
              <w:tc>
                <w:tcPr>
                  <w:tcW w:w="9379" w:type="dxa"/>
                </w:tcPr>
                <w:p w:rsidR="00777753" w:rsidRPr="00600EBB" w:rsidRDefault="00777753" w:rsidP="00600EBB">
                  <w:pPr>
                    <w:pStyle w:val="ListeParagraf"/>
                    <w:numPr>
                      <w:ilvl w:val="0"/>
                      <w:numId w:val="5"/>
                    </w:numPr>
                    <w:rPr>
                      <w:rFonts w:cs="Times New Roman"/>
                      <w:szCs w:val="24"/>
                    </w:rPr>
                  </w:pPr>
                  <w:r w:rsidRPr="00600EBB">
                    <w:rPr>
                      <w:rFonts w:cs="Times New Roman"/>
                      <w:szCs w:val="24"/>
                    </w:rPr>
                    <w:t>Kat karşılığı veya hasılat paylaşımı inşaat işlerine ilişkin danışmanlık hizmet sözleşmeleri</w:t>
                  </w:r>
                </w:p>
              </w:tc>
            </w:tr>
            <w:tr w:rsidR="00777753" w:rsidRPr="00600EBB" w:rsidTr="00BB4627">
              <w:trPr>
                <w:trHeight w:val="172"/>
              </w:trPr>
              <w:tc>
                <w:tcPr>
                  <w:tcW w:w="9379" w:type="dxa"/>
                </w:tcPr>
                <w:p w:rsidR="00777753" w:rsidRPr="00600EBB" w:rsidRDefault="00777753" w:rsidP="00600EBB">
                  <w:pPr>
                    <w:pStyle w:val="ListeParagraf"/>
                    <w:numPr>
                      <w:ilvl w:val="0"/>
                      <w:numId w:val="5"/>
                    </w:numPr>
                    <w:rPr>
                      <w:rFonts w:cs="Times New Roman"/>
                      <w:szCs w:val="24"/>
                    </w:rPr>
                  </w:pPr>
                  <w:r w:rsidRPr="00600EBB">
                    <w:rPr>
                      <w:rFonts w:cs="Times New Roman"/>
                      <w:szCs w:val="24"/>
                    </w:rPr>
                    <w:t>Yapı denetimi hizmet sözleşmeleri</w:t>
                  </w:r>
                </w:p>
              </w:tc>
            </w:tr>
          </w:tbl>
          <w:p w:rsidR="00680510" w:rsidRDefault="00680510" w:rsidP="00777753">
            <w:pPr>
              <w:spacing w:after="0"/>
              <w:rPr>
                <w:rFonts w:cs="Times New Roman"/>
                <w:szCs w:val="24"/>
              </w:rPr>
            </w:pPr>
          </w:p>
          <w:p w:rsidR="00777753" w:rsidRPr="00600EBB" w:rsidRDefault="00600EBB" w:rsidP="00777753">
            <w:pPr>
              <w:spacing w:after="0"/>
              <w:rPr>
                <w:rFonts w:cs="Times New Roman"/>
                <w:b/>
                <w:szCs w:val="24"/>
                <w:shd w:val="clear" w:color="auto" w:fill="FFFFFF"/>
              </w:rPr>
            </w:pPr>
            <w:bookmarkStart w:id="0" w:name="_GoBack"/>
            <w:bookmarkEnd w:id="0"/>
            <w:proofErr w:type="spellStart"/>
            <w:r w:rsidRPr="00600EBB">
              <w:rPr>
                <w:rFonts w:cs="Times New Roman"/>
                <w:b/>
                <w:szCs w:val="24"/>
                <w:shd w:val="clear" w:color="auto" w:fill="FFFFFF"/>
              </w:rPr>
              <w:t>B</w:t>
            </w:r>
            <w:r w:rsidR="00777753" w:rsidRPr="00600EBB">
              <w:rPr>
                <w:rFonts w:cs="Times New Roman"/>
                <w:b/>
                <w:szCs w:val="24"/>
                <w:shd w:val="clear" w:color="auto" w:fill="FFFFFF"/>
              </w:rPr>
              <w:t>.Harçlar</w:t>
            </w:r>
            <w:proofErr w:type="spellEnd"/>
            <w:r w:rsidR="00777753" w:rsidRPr="00600EBB">
              <w:rPr>
                <w:rFonts w:cs="Times New Roman"/>
                <w:b/>
                <w:szCs w:val="24"/>
                <w:shd w:val="clear" w:color="auto" w:fill="FFFFFF"/>
              </w:rPr>
              <w:t xml:space="preserve">  Kanunu’nda Yapılan Değişiklik </w:t>
            </w:r>
          </w:p>
          <w:p w:rsidR="00777753" w:rsidRPr="00600EBB" w:rsidRDefault="00777753" w:rsidP="00777753">
            <w:pPr>
              <w:shd w:val="clear" w:color="auto" w:fill="FFFFFF"/>
              <w:spacing w:after="0"/>
              <w:outlineLvl w:val="0"/>
              <w:rPr>
                <w:rFonts w:cs="Times New Roman"/>
                <w:szCs w:val="24"/>
              </w:rPr>
            </w:pPr>
          </w:p>
          <w:p w:rsidR="00777753" w:rsidRPr="00600EBB" w:rsidRDefault="00777753" w:rsidP="00777753">
            <w:pPr>
              <w:shd w:val="clear" w:color="auto" w:fill="FFFFFF"/>
              <w:spacing w:after="0"/>
              <w:outlineLvl w:val="0"/>
              <w:rPr>
                <w:rFonts w:cs="Times New Roman"/>
                <w:szCs w:val="24"/>
              </w:rPr>
            </w:pPr>
            <w:r w:rsidRPr="00600EBB">
              <w:rPr>
                <w:rFonts w:cs="Times New Roman"/>
                <w:szCs w:val="24"/>
              </w:rPr>
              <w:t xml:space="preserve">30/9/2017 tarihine kadar (bu tarih </w:t>
            </w:r>
            <w:proofErr w:type="gramStart"/>
            <w:r w:rsidRPr="00600EBB">
              <w:rPr>
                <w:rFonts w:cs="Times New Roman"/>
                <w:szCs w:val="24"/>
              </w:rPr>
              <w:t>dahil</w:t>
            </w:r>
            <w:proofErr w:type="gramEnd"/>
            <w:r w:rsidRPr="00600EBB">
              <w:rPr>
                <w:rFonts w:cs="Times New Roman"/>
                <w:szCs w:val="24"/>
              </w:rPr>
              <w:t>) uygulanmak üzere, 492 sayılı Kanuna bağlı (4) sayılı tarifenin "I-Tapu İşlemleri" başlıklı bölümünün 20/a fıkrasında sayılan tapu işlemleri üzerinden "binde 20" nispetinde alınan tapu harcı, konut ve işyerlerinde (kat irtifakı tesis edilmiş olanlar dahil) "binde 15" olarak yeniden belirlenmiştir.</w:t>
            </w:r>
          </w:p>
          <w:p w:rsidR="00777753" w:rsidRPr="00600EBB" w:rsidRDefault="00777753" w:rsidP="00777753">
            <w:pPr>
              <w:spacing w:after="0"/>
              <w:rPr>
                <w:rFonts w:cs="Times New Roman"/>
                <w:b/>
                <w:szCs w:val="24"/>
                <w:shd w:val="clear" w:color="auto" w:fill="FFFFFF"/>
              </w:rPr>
            </w:pPr>
          </w:p>
          <w:p w:rsidR="00777753" w:rsidRPr="00600EBB" w:rsidRDefault="00600EBB" w:rsidP="00777753">
            <w:pPr>
              <w:spacing w:after="0"/>
              <w:rPr>
                <w:rFonts w:cs="Times New Roman"/>
                <w:b/>
                <w:szCs w:val="24"/>
                <w:shd w:val="clear" w:color="auto" w:fill="FFFFFF"/>
              </w:rPr>
            </w:pPr>
            <w:proofErr w:type="spellStart"/>
            <w:r w:rsidRPr="00600EBB">
              <w:rPr>
                <w:rFonts w:cs="Times New Roman"/>
                <w:b/>
                <w:szCs w:val="24"/>
                <w:shd w:val="clear" w:color="auto" w:fill="FFFFFF"/>
              </w:rPr>
              <w:t>C</w:t>
            </w:r>
            <w:r w:rsidR="00777753" w:rsidRPr="00600EBB">
              <w:rPr>
                <w:rFonts w:cs="Times New Roman"/>
                <w:b/>
                <w:szCs w:val="24"/>
                <w:shd w:val="clear" w:color="auto" w:fill="FFFFFF"/>
              </w:rPr>
              <w:t>.Kaynak</w:t>
            </w:r>
            <w:proofErr w:type="spellEnd"/>
            <w:r w:rsidR="00777753" w:rsidRPr="00600EBB">
              <w:rPr>
                <w:rFonts w:cs="Times New Roman"/>
                <w:b/>
                <w:szCs w:val="24"/>
                <w:shd w:val="clear" w:color="auto" w:fill="FFFFFF"/>
              </w:rPr>
              <w:t xml:space="preserve"> Kullanıma Destekleme Fonuna İlişkin Değişiklik </w:t>
            </w:r>
          </w:p>
          <w:p w:rsidR="00777753" w:rsidRPr="0039706E" w:rsidRDefault="00777753" w:rsidP="00777753">
            <w:pPr>
              <w:spacing w:after="0"/>
              <w:rPr>
                <w:rFonts w:cs="Times New Roman"/>
                <w:szCs w:val="24"/>
                <w:shd w:val="clear" w:color="auto" w:fill="FFFFFF"/>
              </w:rPr>
            </w:pPr>
            <w:r w:rsidRPr="0039706E">
              <w:rPr>
                <w:rFonts w:cs="Times New Roman"/>
                <w:szCs w:val="24"/>
                <w:shd w:val="clear" w:color="auto" w:fill="FFFFFF"/>
              </w:rPr>
              <w:t>Bankalar ve finansman şirketleri dışında, Türkiye'de yerleşik kişilerin yurt dışından sağladıkları Türk Lirası kredilerde (</w:t>
            </w:r>
            <w:proofErr w:type="spellStart"/>
            <w:r w:rsidRPr="0039706E">
              <w:rPr>
                <w:rFonts w:cs="Times New Roman"/>
                <w:szCs w:val="24"/>
                <w:shd w:val="clear" w:color="auto" w:fill="FFFFFF"/>
              </w:rPr>
              <w:t>fıduciary</w:t>
            </w:r>
            <w:proofErr w:type="spellEnd"/>
            <w:r w:rsidRPr="0039706E">
              <w:rPr>
                <w:rFonts w:cs="Times New Roman"/>
                <w:szCs w:val="24"/>
                <w:shd w:val="clear" w:color="auto" w:fill="FFFFFF"/>
              </w:rPr>
              <w:t xml:space="preserve"> işlemler hariç) Kaynak Kullanımını Destekleme Fonu kesintisi oranı; ortalama vadesi bir yıla kadar olanlarda %3’den %1’e, bir yıl ve üzeri olanlarda %0 (yüzde sıfır) olarak tespit edilmiştir. Buna göre Türkiye'de yerleşik kişilerin yurt dışından sağladıkları Türk Lirası kredilerde (</w:t>
            </w:r>
            <w:proofErr w:type="spellStart"/>
            <w:r w:rsidRPr="0039706E">
              <w:rPr>
                <w:rFonts w:cs="Times New Roman"/>
                <w:szCs w:val="24"/>
                <w:shd w:val="clear" w:color="auto" w:fill="FFFFFF"/>
              </w:rPr>
              <w:t>fıduciary</w:t>
            </w:r>
            <w:proofErr w:type="spellEnd"/>
            <w:r w:rsidRPr="0039706E">
              <w:rPr>
                <w:rFonts w:cs="Times New Roman"/>
                <w:szCs w:val="24"/>
                <w:shd w:val="clear" w:color="auto" w:fill="FFFFFF"/>
              </w:rPr>
              <w:t xml:space="preserve"> işlemler hariç) KKDF kesintisi oranları; </w:t>
            </w:r>
          </w:p>
          <w:p w:rsidR="00777753" w:rsidRPr="0039706E" w:rsidRDefault="00777753" w:rsidP="00777753">
            <w:pPr>
              <w:numPr>
                <w:ilvl w:val="0"/>
                <w:numId w:val="4"/>
              </w:numPr>
              <w:shd w:val="clear" w:color="auto" w:fill="FFFFFF"/>
              <w:spacing w:after="0"/>
              <w:jc w:val="left"/>
              <w:rPr>
                <w:rFonts w:eastAsia="Times New Roman" w:cs="Times New Roman"/>
                <w:szCs w:val="24"/>
                <w:lang w:val="en-US"/>
              </w:rPr>
            </w:pPr>
            <w:proofErr w:type="spellStart"/>
            <w:r w:rsidRPr="0039706E">
              <w:rPr>
                <w:rFonts w:eastAsia="Times New Roman" w:cs="Times New Roman"/>
                <w:szCs w:val="24"/>
                <w:lang w:val="en-US"/>
              </w:rPr>
              <w:t>Ortalama</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vadesi</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bir</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yıla</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kadar</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olanlarda</w:t>
            </w:r>
            <w:proofErr w:type="spellEnd"/>
            <w:r w:rsidRPr="0039706E">
              <w:rPr>
                <w:rFonts w:eastAsia="Times New Roman" w:cs="Times New Roman"/>
                <w:szCs w:val="24"/>
                <w:lang w:val="en-US"/>
              </w:rPr>
              <w:t xml:space="preserve"> </w:t>
            </w:r>
            <w:r w:rsidRPr="0039706E">
              <w:rPr>
                <w:rFonts w:eastAsia="Times New Roman" w:cs="Times New Roman"/>
                <w:szCs w:val="24"/>
                <w:shd w:val="clear" w:color="auto" w:fill="FFFFFF"/>
                <w:lang w:val="en-US"/>
              </w:rPr>
              <w:t>% 3’den % 1’e</w:t>
            </w:r>
          </w:p>
          <w:p w:rsidR="00777753" w:rsidRPr="0039706E" w:rsidRDefault="00777753" w:rsidP="00777753">
            <w:pPr>
              <w:numPr>
                <w:ilvl w:val="0"/>
                <w:numId w:val="4"/>
              </w:numPr>
              <w:shd w:val="clear" w:color="auto" w:fill="FFFFFF"/>
              <w:spacing w:after="0"/>
              <w:jc w:val="left"/>
              <w:rPr>
                <w:rFonts w:eastAsia="Times New Roman" w:cs="Times New Roman"/>
                <w:szCs w:val="24"/>
                <w:lang w:val="en-US"/>
              </w:rPr>
            </w:pPr>
            <w:proofErr w:type="spellStart"/>
            <w:r w:rsidRPr="0039706E">
              <w:rPr>
                <w:rFonts w:eastAsia="Times New Roman" w:cs="Times New Roman"/>
                <w:szCs w:val="24"/>
                <w:lang w:val="en-US"/>
              </w:rPr>
              <w:t>Ortalama</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vadesi</w:t>
            </w:r>
            <w:proofErr w:type="spellEnd"/>
            <w:r w:rsidRPr="0039706E">
              <w:rPr>
                <w:rFonts w:eastAsia="Times New Roman" w:cs="Times New Roman"/>
                <w:szCs w:val="24"/>
                <w:lang w:val="en-US"/>
              </w:rPr>
              <w:t xml:space="preserve"> 1 </w:t>
            </w:r>
            <w:proofErr w:type="spellStart"/>
            <w:r w:rsidRPr="0039706E">
              <w:rPr>
                <w:rFonts w:eastAsia="Times New Roman" w:cs="Times New Roman"/>
                <w:szCs w:val="24"/>
                <w:lang w:val="en-US"/>
              </w:rPr>
              <w:t>yıl</w:t>
            </w:r>
            <w:proofErr w:type="spellEnd"/>
            <w:r w:rsidRPr="0039706E">
              <w:rPr>
                <w:rFonts w:eastAsia="Times New Roman" w:cs="Times New Roman"/>
                <w:szCs w:val="24"/>
                <w:lang w:val="en-US"/>
              </w:rPr>
              <w:t xml:space="preserve"> (1 </w:t>
            </w:r>
            <w:proofErr w:type="spellStart"/>
            <w:r w:rsidRPr="0039706E">
              <w:rPr>
                <w:rFonts w:eastAsia="Times New Roman" w:cs="Times New Roman"/>
                <w:szCs w:val="24"/>
                <w:lang w:val="en-US"/>
              </w:rPr>
              <w:t>yıl</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dahil</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ile</w:t>
            </w:r>
            <w:proofErr w:type="spellEnd"/>
            <w:r w:rsidRPr="0039706E">
              <w:rPr>
                <w:rFonts w:eastAsia="Times New Roman" w:cs="Times New Roman"/>
                <w:szCs w:val="24"/>
                <w:lang w:val="en-US"/>
              </w:rPr>
              <w:t xml:space="preserve"> 2 </w:t>
            </w:r>
            <w:proofErr w:type="spellStart"/>
            <w:r w:rsidRPr="0039706E">
              <w:rPr>
                <w:rFonts w:eastAsia="Times New Roman" w:cs="Times New Roman"/>
                <w:szCs w:val="24"/>
                <w:lang w:val="en-US"/>
              </w:rPr>
              <w:t>yıl</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arasında</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olanlarda</w:t>
            </w:r>
            <w:proofErr w:type="spellEnd"/>
            <w:r w:rsidRPr="0039706E">
              <w:rPr>
                <w:rFonts w:eastAsia="Times New Roman" w:cs="Times New Roman"/>
                <w:szCs w:val="24"/>
                <w:lang w:val="en-US"/>
              </w:rPr>
              <w:t xml:space="preserve"> % 1’den % 0 (</w:t>
            </w:r>
            <w:proofErr w:type="spellStart"/>
            <w:r w:rsidRPr="0039706E">
              <w:rPr>
                <w:rFonts w:eastAsia="Times New Roman" w:cs="Times New Roman"/>
                <w:szCs w:val="24"/>
                <w:lang w:val="en-US"/>
              </w:rPr>
              <w:t>sıfır</w:t>
            </w:r>
            <w:proofErr w:type="spellEnd"/>
            <w:r w:rsidRPr="0039706E">
              <w:rPr>
                <w:rFonts w:eastAsia="Times New Roman" w:cs="Times New Roman"/>
                <w:szCs w:val="24"/>
                <w:lang w:val="en-US"/>
              </w:rPr>
              <w:t xml:space="preserve">)’a </w:t>
            </w:r>
          </w:p>
          <w:p w:rsidR="00777753" w:rsidRPr="0039706E" w:rsidRDefault="00777753" w:rsidP="00777753">
            <w:pPr>
              <w:numPr>
                <w:ilvl w:val="0"/>
                <w:numId w:val="4"/>
              </w:numPr>
              <w:shd w:val="clear" w:color="auto" w:fill="FFFFFF"/>
              <w:spacing w:after="0"/>
              <w:jc w:val="left"/>
              <w:rPr>
                <w:rFonts w:eastAsia="Times New Roman" w:cs="Times New Roman"/>
                <w:szCs w:val="24"/>
                <w:lang w:val="en-US"/>
              </w:rPr>
            </w:pPr>
            <w:proofErr w:type="spellStart"/>
            <w:r w:rsidRPr="0039706E">
              <w:rPr>
                <w:rFonts w:eastAsia="Times New Roman" w:cs="Times New Roman"/>
                <w:szCs w:val="24"/>
                <w:lang w:val="en-US"/>
              </w:rPr>
              <w:t>Ortalama</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vadesi</w:t>
            </w:r>
            <w:proofErr w:type="spellEnd"/>
            <w:r w:rsidRPr="0039706E">
              <w:rPr>
                <w:rFonts w:eastAsia="Times New Roman" w:cs="Times New Roman"/>
                <w:szCs w:val="24"/>
                <w:lang w:val="en-US"/>
              </w:rPr>
              <w:t xml:space="preserve"> 2 </w:t>
            </w:r>
            <w:proofErr w:type="spellStart"/>
            <w:r w:rsidRPr="0039706E">
              <w:rPr>
                <w:rFonts w:eastAsia="Times New Roman" w:cs="Times New Roman"/>
                <w:szCs w:val="24"/>
                <w:lang w:val="en-US"/>
              </w:rPr>
              <w:t>yıl</w:t>
            </w:r>
            <w:proofErr w:type="spellEnd"/>
            <w:r w:rsidRPr="0039706E">
              <w:rPr>
                <w:rFonts w:eastAsia="Times New Roman" w:cs="Times New Roman"/>
                <w:szCs w:val="24"/>
                <w:lang w:val="en-US"/>
              </w:rPr>
              <w:t xml:space="preserve"> (2 </w:t>
            </w:r>
            <w:proofErr w:type="spellStart"/>
            <w:r w:rsidRPr="0039706E">
              <w:rPr>
                <w:rFonts w:eastAsia="Times New Roman" w:cs="Times New Roman"/>
                <w:szCs w:val="24"/>
                <w:lang w:val="en-US"/>
              </w:rPr>
              <w:t>yıl</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dahil</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ile</w:t>
            </w:r>
            <w:proofErr w:type="spellEnd"/>
            <w:r w:rsidRPr="0039706E">
              <w:rPr>
                <w:rFonts w:eastAsia="Times New Roman" w:cs="Times New Roman"/>
                <w:szCs w:val="24"/>
                <w:lang w:val="en-US"/>
              </w:rPr>
              <w:t xml:space="preserve"> 3 </w:t>
            </w:r>
            <w:proofErr w:type="spellStart"/>
            <w:r w:rsidRPr="0039706E">
              <w:rPr>
                <w:rFonts w:eastAsia="Times New Roman" w:cs="Times New Roman"/>
                <w:szCs w:val="24"/>
                <w:lang w:val="en-US"/>
              </w:rPr>
              <w:t>yıl</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arasında</w:t>
            </w:r>
            <w:proofErr w:type="spellEnd"/>
            <w:r w:rsidRPr="0039706E">
              <w:rPr>
                <w:rFonts w:eastAsia="Times New Roman" w:cs="Times New Roman"/>
                <w:szCs w:val="24"/>
                <w:lang w:val="en-US"/>
              </w:rPr>
              <w:t xml:space="preserve"> </w:t>
            </w:r>
            <w:proofErr w:type="spellStart"/>
            <w:r w:rsidRPr="0039706E">
              <w:rPr>
                <w:rFonts w:eastAsia="Times New Roman" w:cs="Times New Roman"/>
                <w:szCs w:val="24"/>
                <w:lang w:val="en-US"/>
              </w:rPr>
              <w:t>olanlarda</w:t>
            </w:r>
            <w:proofErr w:type="spellEnd"/>
            <w:r w:rsidRPr="0039706E">
              <w:rPr>
                <w:rFonts w:eastAsia="Times New Roman" w:cs="Times New Roman"/>
                <w:szCs w:val="24"/>
                <w:lang w:val="en-US"/>
              </w:rPr>
              <w:t xml:space="preserve"> % 0,5’den % 0 (</w:t>
            </w:r>
            <w:proofErr w:type="spellStart"/>
            <w:r w:rsidRPr="0039706E">
              <w:rPr>
                <w:rFonts w:eastAsia="Times New Roman" w:cs="Times New Roman"/>
                <w:szCs w:val="24"/>
                <w:lang w:val="en-US"/>
              </w:rPr>
              <w:t>sıfır</w:t>
            </w:r>
            <w:proofErr w:type="spellEnd"/>
            <w:r w:rsidRPr="0039706E">
              <w:rPr>
                <w:rFonts w:eastAsia="Times New Roman" w:cs="Times New Roman"/>
                <w:szCs w:val="24"/>
                <w:lang w:val="en-US"/>
              </w:rPr>
              <w:t>)’a</w:t>
            </w:r>
          </w:p>
          <w:p w:rsidR="00A914B6" w:rsidRPr="00831129" w:rsidRDefault="00777753" w:rsidP="00600EBB">
            <w:pPr>
              <w:spacing w:after="0"/>
              <w:rPr>
                <w:rFonts w:eastAsia="Times New Roman" w:cs="Times New Roman"/>
                <w:color w:val="000099"/>
                <w:spacing w:val="-4"/>
                <w:sz w:val="22"/>
                <w:lang w:eastAsia="tr-TR"/>
              </w:rPr>
            </w:pPr>
            <w:proofErr w:type="gramStart"/>
            <w:r w:rsidRPr="0039706E">
              <w:rPr>
                <w:rFonts w:cs="Times New Roman"/>
                <w:szCs w:val="24"/>
              </w:rPr>
              <w:t>düşürülmüştür</w:t>
            </w:r>
            <w:proofErr w:type="gramEnd"/>
            <w:r w:rsidRPr="0039706E">
              <w:rPr>
                <w:rFonts w:cs="Times New Roman"/>
                <w:szCs w:val="24"/>
              </w:rPr>
              <w:t>.</w:t>
            </w:r>
          </w:p>
        </w:tc>
      </w:tr>
    </w:tbl>
    <w:p w:rsidR="00941FB4" w:rsidRPr="00941FB4" w:rsidRDefault="00941FB4" w:rsidP="00941FB4">
      <w:pPr>
        <w:spacing w:after="0" w:line="240" w:lineRule="auto"/>
        <w:jc w:val="center"/>
        <w:rPr>
          <w:rFonts w:eastAsia="Times New Roman" w:cs="Times New Roman"/>
          <w:color w:val="000000"/>
          <w:sz w:val="27"/>
          <w:szCs w:val="27"/>
          <w:lang w:eastAsia="tr-TR"/>
        </w:rPr>
      </w:pPr>
      <w:r w:rsidRPr="00941FB4">
        <w:rPr>
          <w:rFonts w:eastAsia="Times New Roman" w:cs="Times New Roman"/>
          <w:color w:val="000000"/>
          <w:sz w:val="27"/>
          <w:szCs w:val="27"/>
          <w:lang w:eastAsia="tr-TR"/>
        </w:rPr>
        <w:lastRenderedPageBreak/>
        <w:t> </w:t>
      </w:r>
    </w:p>
    <w:p w:rsidR="00680510" w:rsidRDefault="00680510">
      <w:pPr>
        <w:spacing w:after="160" w:line="259" w:lineRule="auto"/>
        <w:jc w:val="left"/>
      </w:pPr>
      <w:r w:rsidRPr="00217F41">
        <w:rPr>
          <w:rFonts w:ascii="Cambria" w:hAnsi="Cambria"/>
          <w:noProof/>
          <w:spacing w:val="-4"/>
          <w:lang w:eastAsia="tr-TR"/>
        </w:rPr>
        <w:drawing>
          <wp:inline distT="0" distB="0" distL="0" distR="0" wp14:anchorId="35036DAB" wp14:editId="5F92F92F">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680510" w:rsidRPr="00300929" w:rsidRDefault="00680510" w:rsidP="00680510">
      <w:pPr>
        <w:spacing w:after="0" w:line="240" w:lineRule="auto"/>
        <w:rPr>
          <w:rFonts w:ascii="Arial" w:hAnsi="Arial" w:cs="Arial"/>
          <w:b/>
          <w:color w:val="00B0F0"/>
          <w:szCs w:val="24"/>
        </w:rPr>
      </w:pPr>
      <w:r w:rsidRPr="00300929">
        <w:rPr>
          <w:rFonts w:ascii="Arial" w:hAnsi="Arial" w:cs="Arial"/>
          <w:b/>
          <w:color w:val="00B0F0"/>
          <w:szCs w:val="24"/>
        </w:rPr>
        <w:t>BAKIŞ YMM VE BAĞIMSIZ DENETİM A.Ş</w:t>
      </w:r>
    </w:p>
    <w:p w:rsidR="00680510" w:rsidRPr="00300929" w:rsidRDefault="00680510" w:rsidP="00680510">
      <w:pPr>
        <w:spacing w:after="0" w:line="240" w:lineRule="auto"/>
        <w:rPr>
          <w:rFonts w:ascii="Arial" w:hAnsi="Arial" w:cs="Arial"/>
          <w:b/>
          <w:color w:val="00B0F0"/>
          <w:szCs w:val="24"/>
        </w:rPr>
      </w:pPr>
      <w:r w:rsidRPr="00300929">
        <w:rPr>
          <w:rFonts w:ascii="Arial" w:hAnsi="Arial" w:cs="Arial"/>
          <w:b/>
          <w:color w:val="00B0F0"/>
          <w:szCs w:val="24"/>
        </w:rPr>
        <w:t xml:space="preserve">              YEMİNLİ MALİ MÜŞAVİR</w:t>
      </w:r>
    </w:p>
    <w:p w:rsidR="00680510" w:rsidRDefault="00680510" w:rsidP="00680510">
      <w:pPr>
        <w:spacing w:after="160" w:line="259" w:lineRule="auto"/>
        <w:rPr>
          <w:rFonts w:cs="Times New Roman"/>
          <w:szCs w:val="24"/>
        </w:rPr>
      </w:pPr>
      <w:r w:rsidRPr="00300929">
        <w:rPr>
          <w:rFonts w:ascii="Arial" w:eastAsia="Times New Roman" w:hAnsi="Arial" w:cs="Arial"/>
          <w:b/>
          <w:color w:val="00B0F0"/>
          <w:szCs w:val="24"/>
          <w:lang w:eastAsia="tr-TR"/>
        </w:rPr>
        <w:t xml:space="preserve">                     İLHAN ALKILIÇ</w:t>
      </w:r>
    </w:p>
    <w:p w:rsidR="00777753" w:rsidRDefault="00777753">
      <w:pPr>
        <w:spacing w:after="160" w:line="259" w:lineRule="auto"/>
        <w:jc w:val="left"/>
      </w:pPr>
      <w:r>
        <w:lastRenderedPageBreak/>
        <w:br w:type="page"/>
      </w:r>
    </w:p>
    <w:p w:rsidR="00777753" w:rsidRDefault="00777753" w:rsidP="00777753">
      <w:pPr>
        <w:rPr>
          <w:rFonts w:ascii="Arial" w:hAnsi="Arial" w:cs="Arial"/>
          <w:szCs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777753" w:rsidRPr="00993A58" w:rsidTr="00BB462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7753" w:rsidRPr="00993A58" w:rsidRDefault="00777753" w:rsidP="00BB4627">
            <w:pPr>
              <w:spacing w:line="240" w:lineRule="atLeast"/>
              <w:rPr>
                <w:rFonts w:eastAsia="Times New Roman"/>
                <w:szCs w:val="24"/>
                <w:lang w:eastAsia="tr-TR"/>
              </w:rPr>
            </w:pPr>
            <w:r w:rsidRPr="00993A58">
              <w:rPr>
                <w:rFonts w:ascii="Arial" w:eastAsia="Times New Roman" w:hAnsi="Arial" w:cs="Arial"/>
                <w:sz w:val="16"/>
                <w:szCs w:val="16"/>
                <w:lang w:eastAsia="tr-TR"/>
              </w:rPr>
              <w:t>15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7753" w:rsidRPr="00993A58" w:rsidRDefault="00777753" w:rsidP="00BB4627">
            <w:pPr>
              <w:spacing w:line="240" w:lineRule="atLeast"/>
              <w:jc w:val="center"/>
              <w:rPr>
                <w:rFonts w:eastAsia="Times New Roman"/>
                <w:szCs w:val="24"/>
                <w:lang w:eastAsia="tr-TR"/>
              </w:rPr>
            </w:pPr>
            <w:r w:rsidRPr="00993A58">
              <w:rPr>
                <w:rFonts w:ascii="Palatino Linotype" w:eastAsia="Times New Roman" w:hAnsi="Palatino Linotype"/>
                <w:b/>
                <w:bCs/>
                <w:color w:val="800080"/>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77753" w:rsidRPr="00993A58" w:rsidRDefault="00777753" w:rsidP="00BB4627">
            <w:pPr>
              <w:spacing w:before="100" w:beforeAutospacing="1" w:after="100" w:afterAutospacing="1"/>
              <w:jc w:val="right"/>
              <w:rPr>
                <w:rFonts w:eastAsia="Times New Roman"/>
                <w:szCs w:val="24"/>
                <w:lang w:eastAsia="tr-TR"/>
              </w:rPr>
            </w:pPr>
            <w:proofErr w:type="gramStart"/>
            <w:r w:rsidRPr="00993A58">
              <w:rPr>
                <w:rFonts w:ascii="Arial" w:eastAsia="Times New Roman" w:hAnsi="Arial" w:cs="Arial"/>
                <w:sz w:val="16"/>
                <w:szCs w:val="16"/>
                <w:lang w:eastAsia="tr-TR"/>
              </w:rPr>
              <w:t>Sayı : 30008</w:t>
            </w:r>
            <w:proofErr w:type="gramEnd"/>
          </w:p>
        </w:tc>
      </w:tr>
      <w:tr w:rsidR="00777753" w:rsidRPr="00993A58" w:rsidTr="00BB4627">
        <w:trPr>
          <w:trHeight w:val="480"/>
        </w:trPr>
        <w:tc>
          <w:tcPr>
            <w:tcW w:w="8789" w:type="dxa"/>
            <w:gridSpan w:val="3"/>
            <w:tcMar>
              <w:top w:w="0" w:type="dxa"/>
              <w:left w:w="108" w:type="dxa"/>
              <w:bottom w:w="0" w:type="dxa"/>
              <w:right w:w="108" w:type="dxa"/>
            </w:tcMar>
            <w:vAlign w:val="center"/>
            <w:hideMark/>
          </w:tcPr>
          <w:p w:rsidR="00777753" w:rsidRPr="00993A58" w:rsidRDefault="00777753" w:rsidP="00BB4627">
            <w:pPr>
              <w:spacing w:before="100" w:beforeAutospacing="1" w:after="100" w:afterAutospacing="1"/>
              <w:jc w:val="center"/>
              <w:rPr>
                <w:rFonts w:eastAsia="Times New Roman"/>
                <w:szCs w:val="24"/>
                <w:lang w:eastAsia="tr-TR"/>
              </w:rPr>
            </w:pPr>
            <w:r>
              <w:rPr>
                <w:rFonts w:ascii="Arial" w:eastAsia="Times New Roman" w:hAnsi="Arial" w:cs="Arial"/>
                <w:b/>
                <w:bCs/>
                <w:color w:val="000080"/>
                <w:sz w:val="18"/>
                <w:szCs w:val="18"/>
                <w:lang w:eastAsia="tr-TR"/>
              </w:rPr>
              <w:t>BKK</w:t>
            </w:r>
          </w:p>
        </w:tc>
      </w:tr>
    </w:tbl>
    <w:p w:rsidR="00777753" w:rsidRDefault="00777753" w:rsidP="00777753">
      <w:pPr>
        <w:spacing w:after="160"/>
        <w:rPr>
          <w:b/>
          <w:i/>
        </w:rPr>
      </w:pPr>
    </w:p>
    <w:p w:rsidR="00777753" w:rsidRPr="00993A58" w:rsidRDefault="00777753" w:rsidP="00777753">
      <w:pPr>
        <w:spacing w:after="160"/>
        <w:jc w:val="center"/>
        <w:rPr>
          <w:b/>
        </w:rPr>
      </w:pPr>
    </w:p>
    <w:p w:rsidR="00777753" w:rsidRPr="00993A58" w:rsidRDefault="00777753" w:rsidP="00777753">
      <w:pPr>
        <w:spacing w:after="160"/>
        <w:jc w:val="center"/>
        <w:rPr>
          <w:b/>
        </w:rPr>
      </w:pPr>
      <w:proofErr w:type="gramStart"/>
      <w:r w:rsidRPr="00993A58">
        <w:rPr>
          <w:b/>
        </w:rPr>
        <w:t>13/3/2017</w:t>
      </w:r>
      <w:proofErr w:type="gramEnd"/>
      <w:r w:rsidRPr="00993A58">
        <w:rPr>
          <w:b/>
        </w:rPr>
        <w:t xml:space="preserve"> TARİHLÎ VE 2017/9973 SAYILI KARARNAMENİN EKİ</w:t>
      </w:r>
    </w:p>
    <w:p w:rsidR="00777753" w:rsidRPr="00993A58" w:rsidRDefault="00777753" w:rsidP="00777753">
      <w:pPr>
        <w:spacing w:after="160"/>
        <w:jc w:val="center"/>
        <w:rPr>
          <w:b/>
        </w:rPr>
      </w:pPr>
      <w:r w:rsidRPr="00993A58">
        <w:rPr>
          <w:b/>
        </w:rPr>
        <w:t>KARAR</w:t>
      </w:r>
    </w:p>
    <w:p w:rsidR="00777753" w:rsidRPr="00993A58" w:rsidRDefault="00777753" w:rsidP="00777753">
      <w:pPr>
        <w:spacing w:after="160"/>
      </w:pPr>
      <w:r w:rsidRPr="00993A58">
        <w:rPr>
          <w:b/>
        </w:rPr>
        <w:t>MADDE l</w:t>
      </w:r>
      <w:r w:rsidRPr="00993A58">
        <w:t xml:space="preserve">- (1) Bu Karar, </w:t>
      </w:r>
      <w:proofErr w:type="gramStart"/>
      <w:r w:rsidRPr="00993A58">
        <w:t>1/7/1964</w:t>
      </w:r>
      <w:proofErr w:type="gramEnd"/>
      <w:r w:rsidRPr="00993A58">
        <w:t xml:space="preserve"> tarihli ve 488 sayılı Damga Vergisi Kanununun mükerrer 30 uncu maddesinin verdiği yetkiye istinaden aynı Kanuna ekli (1) sayılı tabloda yer alan bazı kâğıtlara ait damga vergisi oranları ve 2/7/1964 tarihli ve 492 sayılı Harçlar Kanununa bağlı (4) sayılı tarifenin "I-Tapu işlemleri" başlıklı bölümünün 20/a fıkrasının son paragrafında yer alan hüküm uyarınca, söz konusu fıkrada yer alan nispi harcın gayrimenkullerin türleri itibarıyla yeniden belirlenmesi ile 20/6/2001 tarihli ve 4684 sayılı Bazı Kanun ve Kanun Hükmünde Kararnamelerde Değişiklik Yapılmasına Dair Kanunun geçici 3 üncü maddesinin (a) bendinde yer alan yetkiye istinaden, yurt dışından kullanılan bazı kredilerde Kaynak Kullanımını Destekleme Fonu kesintisi oranının yeniden belirlenmesi amacıyla hazırlanmıştır.</w:t>
      </w:r>
    </w:p>
    <w:p w:rsidR="00777753" w:rsidRPr="00993A58" w:rsidRDefault="00777753" w:rsidP="00777753">
      <w:pPr>
        <w:spacing w:after="160"/>
      </w:pPr>
      <w:r w:rsidRPr="00993A58">
        <w:rPr>
          <w:b/>
        </w:rPr>
        <w:t>MADDE 2</w:t>
      </w:r>
      <w:r w:rsidRPr="00993A58">
        <w:t>- (1) 488 sayılı Kanuna ekli (1) sayılı tablonun "I. Akitlerle ilgili kâğıtlar11 başlıklı bölümünün "A. Belli parayı ihtiva eden kâğıtlar" başlıklı fıkrasının (14), (15), (16) ve (17) numaralı bentlerinde yer alan kâğıtlar için damga vergisi oram "O" (sıfır) olarak uygulanır.</w:t>
      </w:r>
    </w:p>
    <w:p w:rsidR="00777753" w:rsidRPr="00993A58" w:rsidRDefault="00777753" w:rsidP="00777753">
      <w:pPr>
        <w:spacing w:after="160"/>
      </w:pPr>
      <w:r w:rsidRPr="00993A58">
        <w:rPr>
          <w:b/>
        </w:rPr>
        <w:t>MADDE 3</w:t>
      </w:r>
      <w:r w:rsidRPr="00993A58">
        <w:t xml:space="preserve">- (1) 30/9/2017 tarihine kadar (bu tarih </w:t>
      </w:r>
      <w:proofErr w:type="gramStart"/>
      <w:r w:rsidRPr="00993A58">
        <w:t>dahil</w:t>
      </w:r>
      <w:proofErr w:type="gramEnd"/>
      <w:r w:rsidRPr="00993A58">
        <w:t>) uygulanmak üzere, 492 sayılı Kanuna bağlı (4) sayılı tarifenin "I-Tapu İşlemleri" başlıklı bölümünün 20/a fıkrasında sayılan tapu işlemleri üzerinden "binde 20" nispetinde alınan tapu harcı, konut ve işyerlerinde (kat irtifakı tesis edilmiş olanlar dahil) "binde 15" olarak yeniden belirlenmiştir.</w:t>
      </w:r>
    </w:p>
    <w:p w:rsidR="00777753" w:rsidRPr="00993A58" w:rsidRDefault="00777753" w:rsidP="00777753">
      <w:pPr>
        <w:spacing w:after="160"/>
      </w:pPr>
      <w:r w:rsidRPr="00993A58">
        <w:rPr>
          <w:b/>
        </w:rPr>
        <w:t>MADDE 4</w:t>
      </w:r>
      <w:r w:rsidRPr="00993A58">
        <w:t>- (1) Bankalar ve finansman şirketleri dışında, Türkiye'de yerleşik kişilerin yurt dışından sağladıkları Türk Lirası kredilerde (</w:t>
      </w:r>
      <w:proofErr w:type="spellStart"/>
      <w:r w:rsidRPr="00993A58">
        <w:t>fıduciary</w:t>
      </w:r>
      <w:proofErr w:type="spellEnd"/>
      <w:r w:rsidRPr="00993A58">
        <w:t xml:space="preserve"> işlemler hariç) Kaynak Kullanımını Destekleme Fonu kesintisi oram; ortalama vadesi bir yıla kadar olanlarda %1 (yüzde bir), bir yıl ve üzeri olanlarda %0 (yüzde sıfır) olarak tespit edilmiştir.</w:t>
      </w:r>
    </w:p>
    <w:p w:rsidR="00777753" w:rsidRPr="00993A58" w:rsidRDefault="00777753" w:rsidP="00777753">
      <w:pPr>
        <w:spacing w:after="160"/>
      </w:pPr>
      <w:r w:rsidRPr="00993A58">
        <w:rPr>
          <w:b/>
        </w:rPr>
        <w:t>MADDE 5</w:t>
      </w:r>
      <w:r w:rsidRPr="00993A58">
        <w:t>- (1) Bu Karar yayımı tarihinde yürürlüğe girer. MADDE 6- (1) Bu Karar hükümlerini Maliye Bakanı yürütür.</w:t>
      </w:r>
    </w:p>
    <w:p w:rsidR="00F73571" w:rsidRDefault="00680510"/>
    <w:sectPr w:rsidR="00F73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B8E"/>
    <w:multiLevelType w:val="hybridMultilevel"/>
    <w:tmpl w:val="E91ED4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F33A5E"/>
    <w:multiLevelType w:val="hybridMultilevel"/>
    <w:tmpl w:val="C87CC1FE"/>
    <w:lvl w:ilvl="0" w:tplc="D5826E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046BC5"/>
    <w:multiLevelType w:val="hybridMultilevel"/>
    <w:tmpl w:val="8626F1F4"/>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1E72EE"/>
    <w:multiLevelType w:val="hybridMultilevel"/>
    <w:tmpl w:val="EF4CBC1C"/>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660E2D"/>
    <w:multiLevelType w:val="hybridMultilevel"/>
    <w:tmpl w:val="1902E526"/>
    <w:lvl w:ilvl="0" w:tplc="D5826E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B6"/>
    <w:rsid w:val="001743E6"/>
    <w:rsid w:val="002A3824"/>
    <w:rsid w:val="004801AF"/>
    <w:rsid w:val="00600EBB"/>
    <w:rsid w:val="00680510"/>
    <w:rsid w:val="00777753"/>
    <w:rsid w:val="00941FB4"/>
    <w:rsid w:val="009C128F"/>
    <w:rsid w:val="00A555BE"/>
    <w:rsid w:val="00A91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3273-641B-4F6A-A7A4-EB5C5ECD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B6"/>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1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petek çelebi</cp:lastModifiedBy>
  <cp:revision>2</cp:revision>
  <dcterms:created xsi:type="dcterms:W3CDTF">2017-03-21T08:18:00Z</dcterms:created>
  <dcterms:modified xsi:type="dcterms:W3CDTF">2017-03-21T08:18:00Z</dcterms:modified>
</cp:coreProperties>
</file>