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6C" w:rsidRDefault="00D66F6C">
      <w:r w:rsidRPr="00217F41">
        <w:rPr>
          <w:rFonts w:ascii="Cambria" w:hAnsi="Cambria"/>
          <w:noProof/>
          <w:spacing w:val="-4"/>
          <w:lang w:eastAsia="tr-TR"/>
        </w:rPr>
        <w:drawing>
          <wp:inline distT="0" distB="0" distL="0" distR="0" wp14:anchorId="11BDC7E7" wp14:editId="38AA9A12">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51"/>
        <w:gridCol w:w="7111"/>
      </w:tblGrid>
      <w:tr w:rsidR="00A914B6" w:rsidRPr="00DB2FEC" w:rsidTr="00D66F6C">
        <w:tc>
          <w:tcPr>
            <w:tcW w:w="9062" w:type="dxa"/>
            <w:gridSpan w:val="2"/>
          </w:tcPr>
          <w:p w:rsidR="00A914B6" w:rsidRPr="00DB2FEC" w:rsidRDefault="00A914B6" w:rsidP="00D66F6C">
            <w:pPr>
              <w:spacing w:line="260" w:lineRule="atLeast"/>
              <w:jc w:val="center"/>
              <w:outlineLvl w:val="0"/>
              <w:rPr>
                <w:rFonts w:eastAsia="Times New Roman" w:cs="Times New Roman"/>
                <w:b/>
                <w:color w:val="000099"/>
                <w:szCs w:val="24"/>
                <w:lang w:eastAsia="tr-TR"/>
              </w:rPr>
            </w:pPr>
          </w:p>
          <w:p w:rsidR="00A914B6" w:rsidRPr="00DB2FEC" w:rsidRDefault="00A914B6" w:rsidP="00D66F6C">
            <w:pPr>
              <w:spacing w:line="260" w:lineRule="atLeast"/>
              <w:jc w:val="center"/>
              <w:outlineLvl w:val="0"/>
              <w:rPr>
                <w:rFonts w:eastAsia="Times New Roman" w:cs="Times New Roman"/>
                <w:b/>
                <w:color w:val="000099"/>
                <w:szCs w:val="24"/>
                <w:lang w:eastAsia="tr-TR"/>
              </w:rPr>
            </w:pPr>
            <w:r w:rsidRPr="00DB2FEC">
              <w:rPr>
                <w:rFonts w:eastAsia="Times New Roman" w:cs="Times New Roman"/>
                <w:b/>
                <w:color w:val="000099"/>
                <w:szCs w:val="24"/>
                <w:lang w:eastAsia="tr-TR"/>
              </w:rPr>
              <w:t>BAKIŞ MEVZUAT</w:t>
            </w:r>
          </w:p>
        </w:tc>
      </w:tr>
      <w:tr w:rsidR="00A914B6" w:rsidRPr="004B2767" w:rsidTr="00D66F6C">
        <w:tc>
          <w:tcPr>
            <w:tcW w:w="1951" w:type="dxa"/>
          </w:tcPr>
          <w:p w:rsidR="00A914B6" w:rsidRPr="00DB2FEC" w:rsidRDefault="00A914B6" w:rsidP="00EA4F97">
            <w:pPr>
              <w:spacing w:line="260" w:lineRule="atLeast"/>
              <w:outlineLvl w:val="0"/>
              <w:rPr>
                <w:rFonts w:eastAsia="Times New Roman" w:cs="Times New Roman"/>
                <w:b/>
                <w:color w:val="000099"/>
                <w:szCs w:val="24"/>
                <w:lang w:eastAsia="tr-TR"/>
              </w:rPr>
            </w:pPr>
          </w:p>
          <w:p w:rsidR="00A914B6" w:rsidRPr="00DB2FEC" w:rsidRDefault="00A914B6" w:rsidP="00EA4F97">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BAŞLIK </w:t>
            </w:r>
          </w:p>
        </w:tc>
        <w:tc>
          <w:tcPr>
            <w:tcW w:w="7111" w:type="dxa"/>
          </w:tcPr>
          <w:p w:rsidR="00D66F6C" w:rsidRDefault="00D66F6C" w:rsidP="00EA4F97">
            <w:pPr>
              <w:shd w:val="clear" w:color="auto" w:fill="FFFFFF"/>
              <w:rPr>
                <w:rFonts w:eastAsia="Times New Roman" w:cs="Times New Roman"/>
                <w:b/>
                <w:bCs/>
                <w:caps/>
                <w:color w:val="000099"/>
                <w:spacing w:val="-6"/>
                <w:szCs w:val="24"/>
                <w:lang w:eastAsia="tr-TR"/>
              </w:rPr>
            </w:pPr>
          </w:p>
          <w:p w:rsidR="00A914B6" w:rsidRPr="004B2767" w:rsidRDefault="00A914B6" w:rsidP="00EA4F97">
            <w:pPr>
              <w:shd w:val="clear" w:color="auto" w:fill="FFFFFF"/>
              <w:rPr>
                <w:rFonts w:eastAsia="Times New Roman" w:cs="Times New Roman"/>
                <w:b/>
                <w:bCs/>
                <w:caps/>
                <w:color w:val="000099"/>
                <w:spacing w:val="-6"/>
                <w:szCs w:val="24"/>
                <w:lang w:eastAsia="tr-TR"/>
              </w:rPr>
            </w:pPr>
            <w:bookmarkStart w:id="0" w:name="_GoBack"/>
            <w:bookmarkEnd w:id="0"/>
            <w:r w:rsidRPr="00831129">
              <w:rPr>
                <w:rFonts w:eastAsia="Times New Roman" w:cs="Times New Roman"/>
                <w:b/>
                <w:bCs/>
                <w:caps/>
                <w:color w:val="000099"/>
                <w:spacing w:val="-6"/>
                <w:szCs w:val="24"/>
                <w:lang w:eastAsia="tr-TR"/>
              </w:rPr>
              <w:t xml:space="preserve">DAMGA </w:t>
            </w:r>
            <w:proofErr w:type="gramStart"/>
            <w:r w:rsidRPr="00831129">
              <w:rPr>
                <w:rFonts w:eastAsia="Times New Roman" w:cs="Times New Roman"/>
                <w:b/>
                <w:bCs/>
                <w:caps/>
                <w:color w:val="000099"/>
                <w:spacing w:val="-6"/>
                <w:szCs w:val="24"/>
                <w:lang w:eastAsia="tr-TR"/>
              </w:rPr>
              <w:t xml:space="preserve">VERGİSİ </w:t>
            </w:r>
            <w:r>
              <w:rPr>
                <w:rFonts w:eastAsia="Times New Roman" w:cs="Times New Roman"/>
                <w:b/>
                <w:bCs/>
                <w:caps/>
                <w:color w:val="000099"/>
                <w:spacing w:val="-6"/>
                <w:szCs w:val="24"/>
                <w:lang w:eastAsia="tr-TR"/>
              </w:rPr>
              <w:t xml:space="preserve"> KANUNU</w:t>
            </w:r>
            <w:proofErr w:type="gramEnd"/>
            <w:r>
              <w:rPr>
                <w:rFonts w:eastAsia="Times New Roman" w:cs="Times New Roman"/>
                <w:b/>
                <w:bCs/>
                <w:caps/>
                <w:color w:val="000099"/>
                <w:spacing w:val="-6"/>
                <w:szCs w:val="24"/>
                <w:lang w:eastAsia="tr-TR"/>
              </w:rPr>
              <w:t xml:space="preserve"> İLE HARÇLAR  </w:t>
            </w:r>
            <w:r w:rsidRPr="00831129">
              <w:rPr>
                <w:rFonts w:eastAsia="Times New Roman" w:cs="Times New Roman"/>
                <w:b/>
                <w:bCs/>
                <w:caps/>
                <w:color w:val="000099"/>
                <w:spacing w:val="-6"/>
                <w:szCs w:val="24"/>
                <w:lang w:eastAsia="tr-TR"/>
              </w:rPr>
              <w:t xml:space="preserve"> KANUN</w:t>
            </w:r>
            <w:r>
              <w:rPr>
                <w:rFonts w:eastAsia="Times New Roman" w:cs="Times New Roman"/>
                <w:b/>
                <w:bCs/>
                <w:caps/>
                <w:color w:val="000099"/>
                <w:spacing w:val="-6"/>
                <w:szCs w:val="24"/>
                <w:lang w:eastAsia="tr-TR"/>
              </w:rPr>
              <w:t xml:space="preserve">U’NDA DEĞİŞİKLİK </w:t>
            </w:r>
            <w:r w:rsidR="001B5FF5">
              <w:rPr>
                <w:rFonts w:eastAsia="Times New Roman" w:cs="Times New Roman"/>
                <w:b/>
                <w:bCs/>
                <w:caps/>
                <w:color w:val="000099"/>
                <w:spacing w:val="-6"/>
                <w:szCs w:val="24"/>
                <w:lang w:eastAsia="tr-TR"/>
              </w:rPr>
              <w:t xml:space="preserve"> YAPILDI</w:t>
            </w:r>
          </w:p>
        </w:tc>
      </w:tr>
      <w:tr w:rsidR="00A914B6" w:rsidRPr="00DB2FEC" w:rsidTr="00D66F6C">
        <w:tc>
          <w:tcPr>
            <w:tcW w:w="1951" w:type="dxa"/>
          </w:tcPr>
          <w:p w:rsidR="00A914B6" w:rsidRPr="00DB2FEC" w:rsidRDefault="00A914B6" w:rsidP="00EA4F97">
            <w:pPr>
              <w:spacing w:before="120" w:after="120"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Sayı </w:t>
            </w:r>
          </w:p>
        </w:tc>
        <w:tc>
          <w:tcPr>
            <w:tcW w:w="7111" w:type="dxa"/>
          </w:tcPr>
          <w:p w:rsidR="00A914B6" w:rsidRPr="00DB2FEC" w:rsidRDefault="00D66F6C" w:rsidP="00EA4F97">
            <w:pPr>
              <w:spacing w:before="120" w:after="120" w:line="260" w:lineRule="atLeast"/>
              <w:outlineLvl w:val="0"/>
              <w:rPr>
                <w:rFonts w:eastAsia="Times New Roman" w:cs="Times New Roman"/>
                <w:color w:val="000099"/>
                <w:szCs w:val="24"/>
                <w:lang w:eastAsia="tr-TR"/>
              </w:rPr>
            </w:pPr>
            <w:r>
              <w:rPr>
                <w:rFonts w:eastAsia="Times New Roman" w:cs="Times New Roman"/>
                <w:color w:val="000099"/>
                <w:szCs w:val="24"/>
                <w:lang w:eastAsia="tr-TR"/>
              </w:rPr>
              <w:t>2017/46</w:t>
            </w:r>
          </w:p>
        </w:tc>
      </w:tr>
      <w:tr w:rsidR="00A914B6" w:rsidRPr="00DB2FEC" w:rsidTr="00D66F6C">
        <w:tc>
          <w:tcPr>
            <w:tcW w:w="1951" w:type="dxa"/>
          </w:tcPr>
          <w:p w:rsidR="00A914B6" w:rsidRPr="00DB2FEC" w:rsidRDefault="00A914B6" w:rsidP="00EA4F97">
            <w:pPr>
              <w:spacing w:line="260" w:lineRule="atLeast"/>
              <w:outlineLvl w:val="0"/>
              <w:rPr>
                <w:rFonts w:eastAsia="Times New Roman" w:cs="Times New Roman"/>
                <w:b/>
                <w:color w:val="000099"/>
                <w:szCs w:val="24"/>
                <w:lang w:eastAsia="tr-TR"/>
              </w:rPr>
            </w:pPr>
          </w:p>
          <w:p w:rsidR="00A914B6" w:rsidRPr="00DB2FEC" w:rsidRDefault="00A914B6" w:rsidP="00EA4F97">
            <w:pPr>
              <w:spacing w:line="260" w:lineRule="atLeast"/>
              <w:outlineLvl w:val="0"/>
              <w:rPr>
                <w:rFonts w:eastAsia="Times New Roman" w:cs="Times New Roman"/>
                <w:b/>
                <w:color w:val="000099"/>
                <w:szCs w:val="24"/>
                <w:lang w:eastAsia="tr-TR"/>
              </w:rPr>
            </w:pPr>
            <w:r w:rsidRPr="00DB2FEC">
              <w:rPr>
                <w:rFonts w:eastAsia="Times New Roman" w:cs="Times New Roman"/>
                <w:b/>
                <w:color w:val="000099"/>
                <w:szCs w:val="24"/>
                <w:lang w:eastAsia="tr-TR"/>
              </w:rPr>
              <w:t xml:space="preserve">ÖZET </w:t>
            </w:r>
          </w:p>
        </w:tc>
        <w:tc>
          <w:tcPr>
            <w:tcW w:w="7111" w:type="dxa"/>
          </w:tcPr>
          <w:p w:rsidR="00A914B6" w:rsidRDefault="00A914B6" w:rsidP="00EA4F97">
            <w:pPr>
              <w:shd w:val="clear" w:color="auto" w:fill="FFFFFF"/>
              <w:rPr>
                <w:rFonts w:eastAsia="Times New Roman" w:cs="Times New Roman"/>
                <w:color w:val="494949"/>
                <w:szCs w:val="24"/>
                <w:shd w:val="clear" w:color="auto" w:fill="FFFFFF"/>
                <w:lang w:eastAsia="en-GB"/>
              </w:rPr>
            </w:pPr>
          </w:p>
          <w:p w:rsidR="00A914B6" w:rsidRPr="00DB2FEC" w:rsidRDefault="00A914B6" w:rsidP="00EA4F97">
            <w:pPr>
              <w:shd w:val="clear" w:color="auto" w:fill="FFFFFF"/>
              <w:rPr>
                <w:rFonts w:eastAsia="Times New Roman" w:cs="Times New Roman"/>
                <w:bCs/>
                <w:color w:val="000099"/>
                <w:spacing w:val="-6"/>
                <w:szCs w:val="24"/>
                <w:lang w:eastAsia="tr-TR"/>
              </w:rPr>
            </w:pPr>
            <w:r>
              <w:rPr>
                <w:rFonts w:eastAsia="Times New Roman" w:cs="Times New Roman"/>
                <w:color w:val="494949"/>
                <w:szCs w:val="24"/>
                <w:shd w:val="clear" w:color="auto" w:fill="FFFFFF"/>
                <w:lang w:eastAsia="en-GB"/>
              </w:rPr>
              <w:t xml:space="preserve">Bazı inşaat faaliyetlerine ilişkin sözleşmeler,  damga vergisi  kapsamına alındı. </w:t>
            </w:r>
          </w:p>
        </w:tc>
      </w:tr>
      <w:tr w:rsidR="00A914B6" w:rsidRPr="00831129" w:rsidTr="00D66F6C">
        <w:tc>
          <w:tcPr>
            <w:tcW w:w="9062" w:type="dxa"/>
            <w:gridSpan w:val="2"/>
          </w:tcPr>
          <w:p w:rsidR="00A914B6" w:rsidRPr="00831129" w:rsidRDefault="00A914B6" w:rsidP="00EA4F97">
            <w:pPr>
              <w:rPr>
                <w:rFonts w:cs="Times New Roman"/>
                <w:b/>
                <w:color w:val="000000"/>
                <w:sz w:val="22"/>
              </w:rPr>
            </w:pPr>
          </w:p>
          <w:p w:rsidR="00A914B6" w:rsidRPr="00831129" w:rsidRDefault="00A914B6" w:rsidP="00EA4F97">
            <w:pPr>
              <w:spacing w:after="160"/>
              <w:rPr>
                <w:rFonts w:cs="Times New Roman"/>
                <w:color w:val="000000"/>
                <w:sz w:val="22"/>
              </w:rPr>
            </w:pPr>
            <w:r w:rsidRPr="00831129">
              <w:rPr>
                <w:rFonts w:cs="Times New Roman"/>
                <w:color w:val="000000"/>
                <w:sz w:val="22"/>
              </w:rPr>
              <w:t>8 Mart 2017 tarihli ve 30001 sayılı Resmi Gazete’de yayımlanan 6824 sayılı BAZI ALACAKLARIN YENİDEN YAPILANDIRILMASI İLE BAZI KANUN VE KANUN HÜKMÜNDE KARARNAMELERDE DEĞİŞİKLİK YAPILMASINA DAİR KANUN’un 5’inci maddesi ile Damga Vergisi Kanunu’nda ve 6’ncı maddesi ile Harçlar Vergisi Kanunu’nda değişiklik yapılmıştır.</w:t>
            </w:r>
          </w:p>
          <w:p w:rsidR="00A914B6" w:rsidRPr="00831129" w:rsidRDefault="00A914B6" w:rsidP="00EA4F97">
            <w:pPr>
              <w:spacing w:after="160"/>
              <w:rPr>
                <w:rFonts w:cs="Times New Roman"/>
                <w:color w:val="000000"/>
                <w:sz w:val="22"/>
              </w:rPr>
            </w:pPr>
            <w:r w:rsidRPr="00831129">
              <w:rPr>
                <w:rFonts w:cs="Times New Roman"/>
                <w:color w:val="000000"/>
                <w:sz w:val="22"/>
              </w:rPr>
              <w:t>Damga Vergisi Kanunu’da yapılan değişiklikle Kanuna ekli vergiye tabi kağıtların yer aldığı (1) sayılı Tablonun  I. Akitlerle ilgili kağıtlar” başlıklı bölümünün “A. Belli parayı ihtiva eden kağıtlar:” başlıklı fıkrasına (13) numaralı bentten sonra gelmek üzere aşağıdaki bentler eklenmiştir.</w:t>
            </w:r>
          </w:p>
          <w:p w:rsidR="00A914B6" w:rsidRPr="00831129" w:rsidRDefault="00A914B6" w:rsidP="00EA4F97">
            <w:pPr>
              <w:spacing w:after="160"/>
              <w:rPr>
                <w:rFonts w:cs="Times New Roman"/>
                <w:color w:val="000000"/>
                <w:sz w:val="22"/>
              </w:rPr>
            </w:pPr>
          </w:p>
          <w:tbl>
            <w:tblPr>
              <w:tblW w:w="7584"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8"/>
              <w:gridCol w:w="2126"/>
            </w:tblGrid>
            <w:tr w:rsidR="00A914B6" w:rsidRPr="00831129" w:rsidTr="00EA4F97">
              <w:trPr>
                <w:trHeight w:val="172"/>
              </w:trPr>
              <w:tc>
                <w:tcPr>
                  <w:tcW w:w="5458" w:type="dxa"/>
                </w:tcPr>
                <w:p w:rsidR="00A914B6" w:rsidRPr="00831129" w:rsidRDefault="00A914B6" w:rsidP="00EA4F97">
                  <w:pPr>
                    <w:ind w:left="57" w:hanging="57"/>
                    <w:jc w:val="center"/>
                    <w:rPr>
                      <w:b/>
                      <w:sz w:val="22"/>
                    </w:rPr>
                  </w:pPr>
                </w:p>
                <w:p w:rsidR="00A914B6" w:rsidRPr="00831129" w:rsidRDefault="00A914B6" w:rsidP="00EA4F97">
                  <w:pPr>
                    <w:ind w:left="57" w:hanging="57"/>
                    <w:jc w:val="center"/>
                    <w:rPr>
                      <w:b/>
                      <w:sz w:val="22"/>
                    </w:rPr>
                  </w:pPr>
                  <w:r w:rsidRPr="00831129">
                    <w:rPr>
                      <w:b/>
                      <w:sz w:val="22"/>
                    </w:rPr>
                    <w:t>Vergiye Tabi Kağıt</w:t>
                  </w:r>
                </w:p>
                <w:p w:rsidR="00A914B6" w:rsidRPr="00831129" w:rsidRDefault="00A914B6" w:rsidP="00EA4F97">
                  <w:pPr>
                    <w:ind w:left="57" w:hanging="57"/>
                    <w:jc w:val="center"/>
                    <w:rPr>
                      <w:b/>
                      <w:sz w:val="22"/>
                    </w:rPr>
                  </w:pPr>
                </w:p>
              </w:tc>
              <w:tc>
                <w:tcPr>
                  <w:tcW w:w="2126" w:type="dxa"/>
                </w:tcPr>
                <w:p w:rsidR="00A914B6" w:rsidRPr="00831129" w:rsidRDefault="00A914B6" w:rsidP="00EA4F97">
                  <w:pPr>
                    <w:jc w:val="center"/>
                    <w:rPr>
                      <w:b/>
                      <w:sz w:val="22"/>
                    </w:rPr>
                  </w:pPr>
                </w:p>
                <w:p w:rsidR="00A914B6" w:rsidRPr="00831129" w:rsidRDefault="00A914B6" w:rsidP="00EA4F97">
                  <w:pPr>
                    <w:jc w:val="center"/>
                    <w:rPr>
                      <w:b/>
                      <w:sz w:val="22"/>
                    </w:rPr>
                  </w:pPr>
                  <w:r w:rsidRPr="00831129">
                    <w:rPr>
                      <w:b/>
                      <w:sz w:val="22"/>
                    </w:rPr>
                    <w:t>Vergi Oranı</w:t>
                  </w:r>
                </w:p>
              </w:tc>
            </w:tr>
            <w:tr w:rsidR="00A914B6" w:rsidRPr="00831129" w:rsidTr="00EA4F97">
              <w:trPr>
                <w:trHeight w:val="172"/>
              </w:trPr>
              <w:tc>
                <w:tcPr>
                  <w:tcW w:w="5458" w:type="dxa"/>
                </w:tcPr>
                <w:p w:rsidR="00A914B6" w:rsidRPr="00831129" w:rsidRDefault="00A914B6" w:rsidP="00EA4F97">
                  <w:pPr>
                    <w:ind w:left="57" w:hanging="57"/>
                    <w:rPr>
                      <w:noProof/>
                      <w:sz w:val="22"/>
                    </w:rPr>
                  </w:pPr>
                  <w:r w:rsidRPr="00831129">
                    <w:rPr>
                      <w:sz w:val="22"/>
                    </w:rPr>
                    <w:t>14. Resmi şekilde düzenlenen kat karşılığı veya hasılat paylaşımı inşaat sözleşmeleri</w:t>
                  </w:r>
                </w:p>
              </w:tc>
              <w:tc>
                <w:tcPr>
                  <w:tcW w:w="2126" w:type="dxa"/>
                </w:tcPr>
                <w:p w:rsidR="00A914B6" w:rsidRPr="00831129" w:rsidRDefault="00A914B6" w:rsidP="00EA4F97">
                  <w:pPr>
                    <w:jc w:val="center"/>
                    <w:rPr>
                      <w:noProof/>
                      <w:sz w:val="22"/>
                    </w:rPr>
                  </w:pPr>
                  <w:r w:rsidRPr="00831129">
                    <w:rPr>
                      <w:sz w:val="22"/>
                    </w:rPr>
                    <w:t>(Binde 9,48)</w:t>
                  </w:r>
                </w:p>
              </w:tc>
            </w:tr>
            <w:tr w:rsidR="00A914B6" w:rsidRPr="00831129" w:rsidTr="00EA4F97">
              <w:trPr>
                <w:trHeight w:val="172"/>
              </w:trPr>
              <w:tc>
                <w:tcPr>
                  <w:tcW w:w="5458" w:type="dxa"/>
                </w:tcPr>
                <w:p w:rsidR="00A914B6" w:rsidRPr="00831129" w:rsidRDefault="00A914B6" w:rsidP="00EA4F97">
                  <w:pPr>
                    <w:ind w:left="57" w:hanging="57"/>
                    <w:rPr>
                      <w:noProof/>
                      <w:sz w:val="22"/>
                    </w:rPr>
                  </w:pPr>
                  <w:r w:rsidRPr="00831129">
                    <w:rPr>
                      <w:sz w:val="22"/>
                    </w:rPr>
                    <w:t>15.</w:t>
                  </w:r>
                  <w:r w:rsidRPr="00831129">
                    <w:rPr>
                      <w:b/>
                      <w:sz w:val="22"/>
                    </w:rPr>
                    <w:t xml:space="preserve"> </w:t>
                  </w:r>
                  <w:r w:rsidRPr="00831129">
                    <w:rPr>
                      <w:sz w:val="22"/>
                    </w:rPr>
                    <w:t xml:space="preserve">Resmi şekilde düzenlenen kat karşılığı veya hasılat paylaşımı inşaat sözleşmeleri kapsamında yapı </w:t>
                  </w:r>
                  <w:r w:rsidRPr="00831129">
                    <w:rPr>
                      <w:sz w:val="22"/>
                    </w:rPr>
                    <w:lastRenderedPageBreak/>
                    <w:t>müteahhitleri ile alt yükleniciler arasında düzenlenen inşaat taahhüt sözleşmeleri</w:t>
                  </w:r>
                </w:p>
              </w:tc>
              <w:tc>
                <w:tcPr>
                  <w:tcW w:w="2126" w:type="dxa"/>
                </w:tcPr>
                <w:p w:rsidR="00A914B6" w:rsidRPr="00831129" w:rsidRDefault="00A914B6" w:rsidP="00EA4F97">
                  <w:pPr>
                    <w:jc w:val="center"/>
                    <w:rPr>
                      <w:noProof/>
                      <w:sz w:val="22"/>
                    </w:rPr>
                  </w:pPr>
                  <w:r w:rsidRPr="00831129">
                    <w:rPr>
                      <w:sz w:val="22"/>
                    </w:rPr>
                    <w:lastRenderedPageBreak/>
                    <w:t>(Binde 9,48)</w:t>
                  </w:r>
                </w:p>
              </w:tc>
            </w:tr>
            <w:tr w:rsidR="00A914B6" w:rsidRPr="00831129" w:rsidTr="00EA4F97">
              <w:trPr>
                <w:trHeight w:val="172"/>
              </w:trPr>
              <w:tc>
                <w:tcPr>
                  <w:tcW w:w="5458" w:type="dxa"/>
                </w:tcPr>
                <w:p w:rsidR="00A914B6" w:rsidRPr="00831129" w:rsidRDefault="00A914B6" w:rsidP="00EA4F97">
                  <w:pPr>
                    <w:ind w:left="57" w:hanging="57"/>
                    <w:rPr>
                      <w:sz w:val="22"/>
                    </w:rPr>
                  </w:pPr>
                  <w:r w:rsidRPr="00831129">
                    <w:rPr>
                      <w:sz w:val="22"/>
                    </w:rPr>
                    <w:lastRenderedPageBreak/>
                    <w:t>16. Kat karşılığı veya hasılat paylaşımı inşaat işlerine ilişkin danışmanlık hizmet sözleşmeleri</w:t>
                  </w:r>
                </w:p>
              </w:tc>
              <w:tc>
                <w:tcPr>
                  <w:tcW w:w="2126" w:type="dxa"/>
                </w:tcPr>
                <w:p w:rsidR="00A914B6" w:rsidRPr="00831129" w:rsidRDefault="00A914B6" w:rsidP="00EA4F97">
                  <w:pPr>
                    <w:jc w:val="center"/>
                    <w:rPr>
                      <w:sz w:val="22"/>
                    </w:rPr>
                  </w:pPr>
                  <w:r w:rsidRPr="00831129">
                    <w:rPr>
                      <w:sz w:val="22"/>
                    </w:rPr>
                    <w:t>(Binde 9,48)</w:t>
                  </w:r>
                </w:p>
              </w:tc>
            </w:tr>
          </w:tbl>
          <w:p w:rsidR="00A914B6" w:rsidRPr="00831129" w:rsidRDefault="00A914B6" w:rsidP="00EA4F97">
            <w:pPr>
              <w:spacing w:after="160"/>
              <w:rPr>
                <w:rFonts w:cs="Times New Roman"/>
                <w:color w:val="000000"/>
                <w:sz w:val="22"/>
              </w:rPr>
            </w:pPr>
          </w:p>
          <w:p w:rsidR="00A914B6" w:rsidRPr="00831129" w:rsidRDefault="00A914B6" w:rsidP="00EA4F97">
            <w:pPr>
              <w:spacing w:after="160"/>
              <w:rPr>
                <w:rFonts w:cs="Times New Roman"/>
                <w:color w:val="000000"/>
                <w:sz w:val="22"/>
              </w:rPr>
            </w:pPr>
            <w:r w:rsidRPr="00831129">
              <w:rPr>
                <w:rFonts w:cs="Times New Roman"/>
                <w:color w:val="000000"/>
                <w:sz w:val="22"/>
              </w:rPr>
              <w:t>Damga Vergisi Kanunu’na ekli vergiden istisna edilen kağıtların yer aldığı  (2) sayılı tablonun “V-Kurumlarla ilgili kağıtlar” başlıklı bölümünün (25) numaralı fıkrasından sonra gelmek üzere ise  aşağıdaki fıkra eklenmiştir</w:t>
            </w:r>
          </w:p>
          <w:p w:rsidR="00A914B6" w:rsidRPr="00831129" w:rsidRDefault="00A914B6" w:rsidP="00EA4F97">
            <w:pPr>
              <w:spacing w:after="160"/>
              <w:rPr>
                <w:rFonts w:cs="Times New Roman"/>
                <w:color w:val="000000"/>
                <w:sz w:val="22"/>
              </w:rPr>
            </w:pPr>
          </w:p>
          <w:p w:rsidR="00A914B6" w:rsidRPr="00831129" w:rsidRDefault="00A914B6" w:rsidP="00EA4F97">
            <w:pPr>
              <w:spacing w:after="160"/>
              <w:ind w:left="708"/>
              <w:rPr>
                <w:rFonts w:cs="Times New Roman"/>
                <w:color w:val="000000"/>
                <w:sz w:val="22"/>
              </w:rPr>
            </w:pPr>
            <w:r w:rsidRPr="00831129">
              <w:rPr>
                <w:rFonts w:cs="Times New Roman"/>
                <w:color w:val="000000"/>
                <w:sz w:val="22"/>
              </w:rPr>
              <w:t>“26. Sosyal sorumluluk projeleri kapsamında proje yürütücüsü sivil toplum kuruluşları ile bu projelere destek veren kamu kurum ve kuruluşları veya kamu kurumu niteliğindeki meslek kuruluşları arasında düzenlenen kâğıtlar.”</w:t>
            </w:r>
          </w:p>
          <w:p w:rsidR="00A914B6" w:rsidRPr="00831129" w:rsidRDefault="00A914B6" w:rsidP="00EA4F97">
            <w:pPr>
              <w:spacing w:after="0"/>
              <w:rPr>
                <w:rFonts w:eastAsia="Times New Roman" w:cs="Times New Roman"/>
                <w:color w:val="000000"/>
                <w:sz w:val="22"/>
                <w:lang w:eastAsia="tr-TR"/>
              </w:rPr>
            </w:pPr>
            <w:r w:rsidRPr="00831129">
              <w:rPr>
                <w:rFonts w:eastAsia="Times New Roman" w:cs="Times New Roman"/>
                <w:color w:val="000099"/>
                <w:spacing w:val="-4"/>
                <w:sz w:val="22"/>
                <w:lang w:eastAsia="tr-TR"/>
              </w:rPr>
              <w:t xml:space="preserve"> </w:t>
            </w:r>
            <w:r w:rsidRPr="00831129">
              <w:rPr>
                <w:rFonts w:eastAsia="Times New Roman" w:cs="Times New Roman"/>
                <w:sz w:val="22"/>
                <w:shd w:val="clear" w:color="auto" w:fill="FFFFFF"/>
                <w:lang w:eastAsia="tr-TR"/>
              </w:rPr>
              <w:t xml:space="preserve"> 6824 sayılı Kanunun 6’nci maddesi ile </w:t>
            </w:r>
            <w:r w:rsidRPr="00831129">
              <w:rPr>
                <w:rFonts w:eastAsia="Times New Roman" w:cs="Times New Roman"/>
                <w:sz w:val="22"/>
                <w:lang w:val="en-US" w:eastAsia="tr-TR"/>
              </w:rPr>
              <w:t xml:space="preserve">  </w:t>
            </w:r>
            <w:r w:rsidRPr="00831129">
              <w:rPr>
                <w:rFonts w:eastAsia="Times New Roman" w:cs="Times New Roman"/>
                <w:color w:val="000000"/>
                <w:sz w:val="22"/>
                <w:lang w:eastAsia="tr-TR"/>
              </w:rPr>
              <w:t>Harçlar Kanununa bağlı (4) sayılı tarifenin “I-Tapu işlemleri” başlıklı bölümünün (20) numaralı fıkrasının (a) bendine aşağıdaki paragraf eklenmiştir.</w:t>
            </w:r>
          </w:p>
          <w:p w:rsidR="00A914B6" w:rsidRPr="00831129" w:rsidRDefault="00A914B6" w:rsidP="00EA4F97">
            <w:pPr>
              <w:spacing w:after="0"/>
              <w:rPr>
                <w:rFonts w:eastAsia="Times New Roman" w:cs="Times New Roman"/>
                <w:color w:val="000000"/>
                <w:sz w:val="22"/>
                <w:lang w:eastAsia="tr-TR"/>
              </w:rPr>
            </w:pPr>
          </w:p>
          <w:p w:rsidR="00A914B6" w:rsidRPr="00831129" w:rsidRDefault="00A914B6" w:rsidP="00EA4F97">
            <w:pPr>
              <w:spacing w:after="0"/>
              <w:ind w:left="708"/>
              <w:rPr>
                <w:rFonts w:eastAsia="Times New Roman" w:cs="Times New Roman"/>
                <w:color w:val="000000"/>
                <w:sz w:val="22"/>
                <w:lang w:eastAsia="tr-TR"/>
              </w:rPr>
            </w:pPr>
            <w:r w:rsidRPr="00831129">
              <w:rPr>
                <w:rFonts w:eastAsia="Times New Roman" w:cs="Times New Roman"/>
                <w:color w:val="000000"/>
                <w:sz w:val="22"/>
                <w:lang w:eastAsia="tr-TR"/>
              </w:rPr>
              <w:t>“Bakanlar Kurulu, bu bende ilişkin kanuni nispeti, gayrimenkullerin türleri, gayrimenkul sertifikası karşılığı edinimi, sınıfları, büyüklükleri, bulunduğu yer ve vergi değerleri itibarıyla birlikte veya ayrı ayrıolmak üzere, bir katına kadar artırmaya, onda birine kadar indirmeye yetkilidir.</w:t>
            </w:r>
          </w:p>
          <w:p w:rsidR="00A914B6" w:rsidRPr="00831129" w:rsidRDefault="00A914B6" w:rsidP="00EA4F97">
            <w:pPr>
              <w:spacing w:after="0"/>
              <w:ind w:left="708"/>
              <w:rPr>
                <w:rFonts w:eastAsia="Times New Roman" w:cs="Times New Roman"/>
                <w:color w:val="000000"/>
                <w:sz w:val="22"/>
                <w:lang w:eastAsia="tr-TR"/>
              </w:rPr>
            </w:pPr>
          </w:p>
          <w:p w:rsidR="00A914B6" w:rsidRPr="00831129" w:rsidRDefault="00A914B6" w:rsidP="00EA4F97">
            <w:pPr>
              <w:spacing w:after="0"/>
              <w:rPr>
                <w:rFonts w:eastAsia="Times New Roman" w:cs="Times New Roman"/>
                <w:color w:val="000000"/>
                <w:sz w:val="22"/>
                <w:lang w:eastAsia="tr-TR"/>
              </w:rPr>
            </w:pPr>
            <w:r w:rsidRPr="00831129">
              <w:rPr>
                <w:rFonts w:eastAsia="Times New Roman" w:cs="Times New Roman"/>
                <w:color w:val="000000"/>
                <w:sz w:val="22"/>
                <w:lang w:eastAsia="tr-TR"/>
              </w:rPr>
              <w:t>Söz konusu Kanunlarda yapılan değişiklikler, 8 Mart 2017 tarihi itibariyle yürürlüğe girmiştir.</w:t>
            </w:r>
          </w:p>
          <w:p w:rsidR="00A914B6" w:rsidRPr="00831129" w:rsidRDefault="00A914B6" w:rsidP="00EA4F97">
            <w:pPr>
              <w:spacing w:after="0"/>
              <w:ind w:left="708"/>
              <w:rPr>
                <w:rFonts w:eastAsia="Times New Roman" w:cs="Times New Roman"/>
                <w:color w:val="000099"/>
                <w:spacing w:val="-4"/>
                <w:sz w:val="22"/>
                <w:lang w:eastAsia="tr-TR"/>
              </w:rPr>
            </w:pPr>
          </w:p>
        </w:tc>
      </w:tr>
    </w:tbl>
    <w:p w:rsidR="00D66F6C" w:rsidRDefault="00D66F6C"/>
    <w:p w:rsidR="00F73571" w:rsidRDefault="00D66F6C">
      <w:r w:rsidRPr="00217F41">
        <w:rPr>
          <w:rFonts w:ascii="Cambria" w:hAnsi="Cambria"/>
          <w:noProof/>
          <w:spacing w:val="-4"/>
          <w:lang w:eastAsia="tr-TR"/>
        </w:rPr>
        <w:drawing>
          <wp:inline distT="0" distB="0" distL="0" distR="0" wp14:anchorId="11BDC7E7" wp14:editId="38AA9A12">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D66F6C" w:rsidRPr="00300929" w:rsidRDefault="00D66F6C" w:rsidP="00D66F6C">
      <w:pPr>
        <w:spacing w:after="0" w:line="240" w:lineRule="auto"/>
        <w:rPr>
          <w:rFonts w:ascii="Arial" w:hAnsi="Arial" w:cs="Arial"/>
          <w:b/>
          <w:color w:val="00B0F0"/>
          <w:szCs w:val="24"/>
        </w:rPr>
      </w:pPr>
      <w:r w:rsidRPr="00300929">
        <w:rPr>
          <w:rFonts w:ascii="Arial" w:hAnsi="Arial" w:cs="Arial"/>
          <w:b/>
          <w:color w:val="00B0F0"/>
          <w:szCs w:val="24"/>
        </w:rPr>
        <w:t>BAKIŞ YMM VE BAĞIMSIZ DENETİM A.Ş</w:t>
      </w:r>
    </w:p>
    <w:p w:rsidR="00D66F6C" w:rsidRPr="00300929" w:rsidRDefault="00D66F6C" w:rsidP="00D66F6C">
      <w:pPr>
        <w:spacing w:after="0" w:line="240" w:lineRule="auto"/>
        <w:rPr>
          <w:rFonts w:ascii="Arial" w:hAnsi="Arial" w:cs="Arial"/>
          <w:b/>
          <w:color w:val="00B0F0"/>
          <w:szCs w:val="24"/>
        </w:rPr>
      </w:pPr>
      <w:r w:rsidRPr="00300929">
        <w:rPr>
          <w:rFonts w:ascii="Arial" w:hAnsi="Arial" w:cs="Arial"/>
          <w:b/>
          <w:color w:val="00B0F0"/>
          <w:szCs w:val="24"/>
        </w:rPr>
        <w:t xml:space="preserve">              YEMİNLİ MALİ MÜŞAVİR</w:t>
      </w:r>
    </w:p>
    <w:p w:rsidR="00D66F6C" w:rsidRDefault="00D66F6C" w:rsidP="00D66F6C">
      <w:pPr>
        <w:spacing w:after="160" w:line="259" w:lineRule="auto"/>
        <w:rPr>
          <w:rFonts w:cs="Times New Roman"/>
          <w:szCs w:val="24"/>
        </w:rPr>
      </w:pPr>
      <w:r w:rsidRPr="00300929">
        <w:rPr>
          <w:rFonts w:ascii="Arial" w:eastAsia="Times New Roman" w:hAnsi="Arial" w:cs="Arial"/>
          <w:b/>
          <w:color w:val="00B0F0"/>
          <w:szCs w:val="24"/>
          <w:lang w:eastAsia="tr-TR"/>
        </w:rPr>
        <w:t xml:space="preserve">                     İLHAN ALKILIÇ</w:t>
      </w:r>
    </w:p>
    <w:p w:rsidR="00D66F6C" w:rsidRDefault="00D66F6C" w:rsidP="00D66F6C">
      <w:pPr>
        <w:spacing w:after="160" w:line="259" w:lineRule="auto"/>
        <w:rPr>
          <w:rFonts w:cs="Times New Roman"/>
          <w:szCs w:val="24"/>
        </w:rPr>
        <w:sectPr w:rsidR="00D66F6C">
          <w:pgSz w:w="11906" w:h="16838"/>
          <w:pgMar w:top="1417" w:right="1417" w:bottom="1417" w:left="1417" w:header="708" w:footer="708" w:gutter="0"/>
          <w:cols w:space="708"/>
          <w:docGrid w:linePitch="360"/>
        </w:sectPr>
      </w:pPr>
    </w:p>
    <w:p w:rsidR="00D66F6C" w:rsidRDefault="00D66F6C"/>
    <w:sectPr w:rsidR="00D66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B6"/>
    <w:rsid w:val="001B5FF5"/>
    <w:rsid w:val="00384D76"/>
    <w:rsid w:val="004801AF"/>
    <w:rsid w:val="00A555BE"/>
    <w:rsid w:val="00A914B6"/>
    <w:rsid w:val="00D66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3273-641B-4F6A-A7A4-EB5C5ECD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4B6"/>
    <w:pPr>
      <w:spacing w:after="20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1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2047</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OZ</dc:creator>
  <cp:keywords/>
  <dc:description/>
  <cp:lastModifiedBy>petek çelebi</cp:lastModifiedBy>
  <cp:revision>2</cp:revision>
  <dcterms:created xsi:type="dcterms:W3CDTF">2017-03-14T08:16:00Z</dcterms:created>
  <dcterms:modified xsi:type="dcterms:W3CDTF">2017-03-14T08:16:00Z</dcterms:modified>
</cp:coreProperties>
</file>