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13" w:rsidRDefault="00051C13">
      <w:r w:rsidRPr="00217F41">
        <w:rPr>
          <w:rFonts w:ascii="Cambria" w:hAnsi="Cambria"/>
          <w:noProof/>
          <w:spacing w:val="-4"/>
          <w:lang w:eastAsia="tr-TR"/>
        </w:rPr>
        <w:drawing>
          <wp:inline distT="0" distB="0" distL="0" distR="0" wp14:anchorId="5AC9C59B" wp14:editId="09AE9EC8">
            <wp:extent cx="1871345" cy="46926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9918" w:type="dxa"/>
        <w:tblLook w:val="04A0" w:firstRow="1" w:lastRow="0" w:firstColumn="1" w:lastColumn="0" w:noHBand="0" w:noVBand="1"/>
      </w:tblPr>
      <w:tblGrid>
        <w:gridCol w:w="9918"/>
      </w:tblGrid>
      <w:tr w:rsidR="004F4DA0" w:rsidRPr="00FB310A" w:rsidTr="00654C79">
        <w:tc>
          <w:tcPr>
            <w:tcW w:w="9918" w:type="dxa"/>
          </w:tcPr>
          <w:p w:rsidR="004F4DA0" w:rsidRPr="00FB310A" w:rsidRDefault="004F4DA0" w:rsidP="00D13979">
            <w:pPr>
              <w:spacing w:line="480" w:lineRule="auto"/>
              <w:jc w:val="center"/>
              <w:outlineLvl w:val="0"/>
              <w:rPr>
                <w:rFonts w:ascii="Times New Roman" w:eastAsia="Times New Roman" w:hAnsi="Times New Roman" w:cs="Times New Roman"/>
                <w:color w:val="000099"/>
                <w:sz w:val="28"/>
                <w:szCs w:val="28"/>
                <w:lang w:eastAsia="tr-TR"/>
              </w:rPr>
            </w:pPr>
            <w:r w:rsidRPr="00FB310A">
              <w:rPr>
                <w:rFonts w:ascii="Times New Roman" w:eastAsia="Times New Roman" w:hAnsi="Times New Roman" w:cs="Times New Roman"/>
                <w:b/>
                <w:color w:val="000099"/>
                <w:sz w:val="28"/>
                <w:szCs w:val="28"/>
                <w:lang w:eastAsia="tr-TR"/>
              </w:rPr>
              <w:t>BAKIŞ MEVZUAT</w:t>
            </w:r>
          </w:p>
        </w:tc>
      </w:tr>
      <w:tr w:rsidR="004F4DA0" w:rsidRPr="00FB310A" w:rsidTr="00654C79">
        <w:tc>
          <w:tcPr>
            <w:tcW w:w="9918" w:type="dxa"/>
          </w:tcPr>
          <w:p w:rsidR="004F4DA0" w:rsidRPr="00FB310A" w:rsidRDefault="004F4DA0" w:rsidP="00D13979">
            <w:pPr>
              <w:tabs>
                <w:tab w:val="left" w:pos="567"/>
              </w:tabs>
              <w:spacing w:line="300" w:lineRule="exact"/>
              <w:jc w:val="both"/>
              <w:rPr>
                <w:rFonts w:ascii="Times New Roman" w:eastAsia="Times New Roman" w:hAnsi="Times New Roman" w:cs="Times New Roman"/>
                <w:color w:val="000099"/>
                <w:spacing w:val="-4"/>
                <w:sz w:val="28"/>
                <w:szCs w:val="28"/>
                <w:lang w:eastAsia="tr-TR"/>
              </w:rPr>
            </w:pPr>
          </w:p>
          <w:p w:rsidR="004F4DA0" w:rsidRPr="00FB310A" w:rsidRDefault="00051C13" w:rsidP="00130C39">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r>
              <w:rPr>
                <w:rFonts w:ascii="Times New Roman" w:eastAsia="Calibri" w:hAnsi="Times New Roman" w:cs="Times New Roman"/>
                <w:b/>
                <w:color w:val="002060"/>
                <w:sz w:val="28"/>
                <w:szCs w:val="28"/>
                <w:lang w:eastAsia="tr-TR"/>
              </w:rPr>
              <w:t xml:space="preserve">2017 YILINDA YURT İÇİ </w:t>
            </w:r>
            <w:r w:rsidR="00AD1EF0" w:rsidRPr="00AD1EF0">
              <w:rPr>
                <w:rFonts w:ascii="Times New Roman" w:eastAsia="Calibri" w:hAnsi="Times New Roman" w:cs="Times New Roman"/>
                <w:b/>
                <w:color w:val="002060"/>
                <w:sz w:val="28"/>
                <w:szCs w:val="28"/>
                <w:lang w:eastAsia="tr-TR"/>
              </w:rPr>
              <w:t>VE -YURTDIŞI GELİR VERGİSİNDEN İSTİSNA HARCIRAH TUTARLARI</w:t>
            </w:r>
          </w:p>
        </w:tc>
      </w:tr>
      <w:tr w:rsidR="004F4DA0" w:rsidRPr="00FB310A" w:rsidTr="00654C79">
        <w:tc>
          <w:tcPr>
            <w:tcW w:w="9918" w:type="dxa"/>
          </w:tcPr>
          <w:p w:rsidR="004F4DA0" w:rsidRPr="00FB310A" w:rsidRDefault="004F4DA0" w:rsidP="00603507">
            <w:pPr>
              <w:tabs>
                <w:tab w:val="left" w:pos="567"/>
              </w:tabs>
              <w:spacing w:line="300" w:lineRule="exact"/>
              <w:jc w:val="both"/>
              <w:rPr>
                <w:rFonts w:ascii="Times New Roman" w:eastAsia="Times New Roman" w:hAnsi="Times New Roman" w:cs="Times New Roman"/>
                <w:color w:val="000099"/>
                <w:spacing w:val="-4"/>
                <w:sz w:val="24"/>
                <w:szCs w:val="24"/>
                <w:lang w:eastAsia="tr-TR"/>
              </w:rPr>
            </w:pPr>
            <w:r w:rsidRPr="00FB310A">
              <w:rPr>
                <w:rFonts w:ascii="Times New Roman" w:eastAsia="Times New Roman" w:hAnsi="Times New Roman" w:cs="Times New Roman"/>
                <w:color w:val="000099"/>
                <w:spacing w:val="-4"/>
                <w:sz w:val="24"/>
                <w:szCs w:val="24"/>
                <w:lang w:eastAsia="tr-TR"/>
              </w:rPr>
              <w:t xml:space="preserve"> </w:t>
            </w:r>
            <w:proofErr w:type="gramStart"/>
            <w:r w:rsidR="00051C13">
              <w:rPr>
                <w:rFonts w:ascii="Times New Roman" w:eastAsia="Times New Roman" w:hAnsi="Times New Roman" w:cs="Times New Roman"/>
                <w:color w:val="000099"/>
                <w:spacing w:val="-4"/>
                <w:sz w:val="24"/>
                <w:szCs w:val="24"/>
                <w:lang w:eastAsia="tr-TR"/>
              </w:rPr>
              <w:t xml:space="preserve">Sayı : </w:t>
            </w:r>
            <w:r w:rsidRPr="00FB310A">
              <w:rPr>
                <w:rFonts w:ascii="Times New Roman" w:eastAsia="Times New Roman" w:hAnsi="Times New Roman" w:cs="Times New Roman"/>
                <w:color w:val="000099"/>
                <w:spacing w:val="-4"/>
                <w:sz w:val="24"/>
                <w:szCs w:val="24"/>
                <w:lang w:eastAsia="tr-TR"/>
              </w:rPr>
              <w:t>201</w:t>
            </w:r>
            <w:r w:rsidR="00603507">
              <w:rPr>
                <w:rFonts w:ascii="Times New Roman" w:eastAsia="Times New Roman" w:hAnsi="Times New Roman" w:cs="Times New Roman"/>
                <w:color w:val="000099"/>
                <w:spacing w:val="-4"/>
                <w:sz w:val="24"/>
                <w:szCs w:val="24"/>
                <w:lang w:eastAsia="tr-TR"/>
              </w:rPr>
              <w:t>7</w:t>
            </w:r>
            <w:proofErr w:type="gramEnd"/>
            <w:r w:rsidRPr="00FB310A">
              <w:rPr>
                <w:rFonts w:ascii="Times New Roman" w:eastAsia="Times New Roman" w:hAnsi="Times New Roman" w:cs="Times New Roman"/>
                <w:color w:val="000099"/>
                <w:spacing w:val="-4"/>
                <w:sz w:val="24"/>
                <w:szCs w:val="24"/>
                <w:lang w:eastAsia="tr-TR"/>
              </w:rPr>
              <w:t>/</w:t>
            </w:r>
            <w:r w:rsidR="00051C13">
              <w:rPr>
                <w:rFonts w:ascii="Times New Roman" w:eastAsia="Times New Roman" w:hAnsi="Times New Roman" w:cs="Times New Roman"/>
                <w:color w:val="000099"/>
                <w:spacing w:val="-4"/>
                <w:sz w:val="24"/>
                <w:szCs w:val="24"/>
                <w:lang w:eastAsia="tr-TR"/>
              </w:rPr>
              <w:t>25</w:t>
            </w:r>
          </w:p>
        </w:tc>
      </w:tr>
      <w:tr w:rsidR="004F4DA0" w:rsidRPr="00FB310A" w:rsidTr="00654C79">
        <w:trPr>
          <w:trHeight w:val="870"/>
        </w:trPr>
        <w:tc>
          <w:tcPr>
            <w:tcW w:w="9918" w:type="dxa"/>
          </w:tcPr>
          <w:p w:rsidR="00D13979" w:rsidRDefault="00D13979" w:rsidP="00D13979">
            <w:pPr>
              <w:spacing w:line="280" w:lineRule="atLeast"/>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ÖZET :  </w:t>
            </w:r>
          </w:p>
          <w:p w:rsidR="004F4DA0" w:rsidRPr="00FB310A" w:rsidRDefault="00AD1EF0" w:rsidP="00603507">
            <w:pPr>
              <w:spacing w:line="360" w:lineRule="auto"/>
              <w:ind w:left="708"/>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G</w:t>
            </w:r>
            <w:r w:rsidRPr="00AD1EF0">
              <w:rPr>
                <w:rFonts w:ascii="Times New Roman" w:eastAsia="Times New Roman" w:hAnsi="Times New Roman" w:cs="Times New Roman"/>
                <w:color w:val="000099"/>
                <w:spacing w:val="-4"/>
                <w:sz w:val="24"/>
                <w:szCs w:val="24"/>
                <w:lang w:eastAsia="tr-TR"/>
              </w:rPr>
              <w:t>elir vergisinden istisna yurtiçi ve yurtdışı harcırah tutarları.</w:t>
            </w:r>
          </w:p>
        </w:tc>
      </w:tr>
      <w:tr w:rsidR="004F4DA0" w:rsidRPr="00FB310A" w:rsidTr="00654C79">
        <w:trPr>
          <w:trHeight w:val="2149"/>
        </w:trPr>
        <w:tc>
          <w:tcPr>
            <w:tcW w:w="9918" w:type="dxa"/>
          </w:tcPr>
          <w:p w:rsidR="004F4DA0" w:rsidRDefault="004F4DA0" w:rsidP="00D13979">
            <w:pPr>
              <w:spacing w:line="280" w:lineRule="atLeast"/>
              <w:jc w:val="both"/>
              <w:rPr>
                <w:rFonts w:ascii="Times New Roman" w:eastAsia="Batang" w:hAnsi="Times New Roman" w:cs="Times New Roman"/>
                <w:bCs/>
                <w:sz w:val="24"/>
                <w:szCs w:val="24"/>
              </w:rPr>
            </w:pPr>
          </w:p>
          <w:p w:rsidR="00AD1EF0" w:rsidRPr="00AD1EF0" w:rsidRDefault="00AD1EF0" w:rsidP="00AD1EF0">
            <w:pPr>
              <w:spacing w:line="360" w:lineRule="auto"/>
              <w:jc w:val="both"/>
              <w:rPr>
                <w:rFonts w:ascii="Times New Roman" w:eastAsia="Arial Unicode MS" w:hAnsi="Times New Roman" w:cs="Times New Roman"/>
                <w:bCs/>
                <w:sz w:val="24"/>
                <w:szCs w:val="24"/>
              </w:rPr>
            </w:pPr>
            <w:r w:rsidRPr="00AD1EF0">
              <w:rPr>
                <w:rFonts w:ascii="Times New Roman" w:eastAsia="Arial Unicode MS" w:hAnsi="Times New Roman" w:cs="Times New Roman"/>
                <w:bCs/>
                <w:sz w:val="24"/>
                <w:szCs w:val="24"/>
              </w:rPr>
              <w:t xml:space="preserve">24 Aralık 2016 tarihli ve </w:t>
            </w:r>
            <w:proofErr w:type="gramStart"/>
            <w:r w:rsidRPr="00AD1EF0">
              <w:rPr>
                <w:rFonts w:ascii="Times New Roman" w:eastAsia="Arial Unicode MS" w:hAnsi="Times New Roman" w:cs="Times New Roman"/>
                <w:bCs/>
                <w:sz w:val="24"/>
                <w:szCs w:val="24"/>
              </w:rPr>
              <w:t>29928  sayılı</w:t>
            </w:r>
            <w:proofErr w:type="gramEnd"/>
            <w:r w:rsidRPr="00AD1EF0">
              <w:rPr>
                <w:rFonts w:ascii="Times New Roman" w:eastAsia="Arial Unicode MS" w:hAnsi="Times New Roman" w:cs="Times New Roman"/>
                <w:bCs/>
                <w:sz w:val="24"/>
                <w:szCs w:val="24"/>
              </w:rPr>
              <w:t xml:space="preserve"> Mükerrer Resmi </w:t>
            </w:r>
            <w:proofErr w:type="spellStart"/>
            <w:r w:rsidRPr="00AD1EF0">
              <w:rPr>
                <w:rFonts w:ascii="Times New Roman" w:eastAsia="Arial Unicode MS" w:hAnsi="Times New Roman" w:cs="Times New Roman"/>
                <w:bCs/>
                <w:sz w:val="24"/>
                <w:szCs w:val="24"/>
              </w:rPr>
              <w:t>Gazete’de</w:t>
            </w:r>
            <w:proofErr w:type="spellEnd"/>
            <w:r w:rsidRPr="00AD1EF0">
              <w:rPr>
                <w:rFonts w:ascii="Times New Roman" w:eastAsia="Arial Unicode MS" w:hAnsi="Times New Roman" w:cs="Times New Roman"/>
                <w:bCs/>
                <w:sz w:val="24"/>
                <w:szCs w:val="24"/>
              </w:rPr>
              <w:t xml:space="preserve">  yayımlanan 2017 yılı Merkezi Yönetim Bütçe Kanunu </w:t>
            </w:r>
            <w:r>
              <w:rPr>
                <w:rFonts w:ascii="Times New Roman" w:eastAsia="Arial Unicode MS" w:hAnsi="Times New Roman" w:cs="Times New Roman"/>
                <w:bCs/>
                <w:sz w:val="24"/>
                <w:szCs w:val="24"/>
              </w:rPr>
              <w:t xml:space="preserve"> </w:t>
            </w:r>
            <w:r w:rsidRPr="00AD1EF0">
              <w:rPr>
                <w:rFonts w:ascii="Times New Roman" w:eastAsia="Arial Unicode MS" w:hAnsi="Times New Roman" w:cs="Times New Roman"/>
                <w:bCs/>
                <w:sz w:val="24"/>
                <w:szCs w:val="24"/>
              </w:rPr>
              <w:t xml:space="preserve">eki (H) Cetvelinde  2017  yılı Harcırah Tutarları  ve 20 Ocak 2017 tarihli ve 29954 sayılı Resmi </w:t>
            </w:r>
            <w:proofErr w:type="spellStart"/>
            <w:r w:rsidRPr="00AD1EF0">
              <w:rPr>
                <w:rFonts w:ascii="Times New Roman" w:eastAsia="Arial Unicode MS" w:hAnsi="Times New Roman" w:cs="Times New Roman"/>
                <w:bCs/>
                <w:sz w:val="24"/>
                <w:szCs w:val="24"/>
              </w:rPr>
              <w:t>Gazete’de</w:t>
            </w:r>
            <w:proofErr w:type="spellEnd"/>
            <w:r w:rsidRPr="00AD1EF0">
              <w:rPr>
                <w:rFonts w:ascii="Times New Roman" w:eastAsia="Arial Unicode MS" w:hAnsi="Times New Roman" w:cs="Times New Roman"/>
                <w:bCs/>
                <w:sz w:val="24"/>
                <w:szCs w:val="24"/>
              </w:rPr>
              <w:t xml:space="preserve"> yayımlanan 27/12/2016 tarihli ve 2017/9715 sayılı Bakanlar Kurulu Kararı ile  yurt dışı seyahatler için geçerli harcırah tutarları ile Kuzey Kıbrıs Türk Cumhuriyeti’ne yapılacak yolculuklarda uygulanacak harcırahlar belirlenmiştir.</w:t>
            </w:r>
          </w:p>
          <w:p w:rsidR="00AD1EF0" w:rsidRDefault="00AD1EF0" w:rsidP="00AD1EF0">
            <w:pPr>
              <w:spacing w:line="360" w:lineRule="auto"/>
              <w:jc w:val="both"/>
              <w:rPr>
                <w:rFonts w:ascii="Arial Unicode MS" w:eastAsia="Arial Unicode MS" w:hAnsi="Arial Unicode MS" w:cs="Arial Unicode MS"/>
                <w:bCs/>
                <w:sz w:val="24"/>
                <w:szCs w:val="24"/>
              </w:rPr>
            </w:pPr>
            <w:r w:rsidRPr="00AD1EF0">
              <w:rPr>
                <w:rFonts w:ascii="Times New Roman" w:eastAsia="Arial Unicode MS" w:hAnsi="Times New Roman" w:cs="Times New Roman"/>
                <w:bCs/>
                <w:sz w:val="24"/>
                <w:szCs w:val="24"/>
              </w:rPr>
              <w:t>Bu</w:t>
            </w:r>
            <w:r>
              <w:rPr>
                <w:rFonts w:ascii="Times New Roman" w:eastAsia="Arial Unicode MS" w:hAnsi="Times New Roman" w:cs="Times New Roman"/>
                <w:bCs/>
                <w:sz w:val="24"/>
                <w:szCs w:val="24"/>
              </w:rPr>
              <w:t xml:space="preserve"> </w:t>
            </w:r>
            <w:proofErr w:type="gramStart"/>
            <w:r>
              <w:rPr>
                <w:rFonts w:ascii="Times New Roman" w:eastAsia="Arial Unicode MS" w:hAnsi="Times New Roman" w:cs="Times New Roman"/>
                <w:bCs/>
                <w:sz w:val="24"/>
                <w:szCs w:val="24"/>
              </w:rPr>
              <w:t xml:space="preserve">düzenlemelere </w:t>
            </w:r>
            <w:r w:rsidRPr="00AD1EF0">
              <w:rPr>
                <w:rFonts w:ascii="Times New Roman" w:eastAsia="Arial Unicode MS" w:hAnsi="Times New Roman" w:cs="Times New Roman"/>
                <w:bCs/>
                <w:sz w:val="24"/>
                <w:szCs w:val="24"/>
              </w:rPr>
              <w:t xml:space="preserve"> göre</w:t>
            </w:r>
            <w:proofErr w:type="gramEnd"/>
            <w:r w:rsidRPr="00AD1EF0">
              <w:rPr>
                <w:rFonts w:ascii="Times New Roman" w:eastAsia="Arial Unicode MS" w:hAnsi="Times New Roman" w:cs="Times New Roman"/>
                <w:bCs/>
                <w:sz w:val="24"/>
                <w:szCs w:val="24"/>
              </w:rPr>
              <w:t xml:space="preserve"> gelir vergisinden istisna harcırah tutarları aşağıdaki gibidir</w:t>
            </w:r>
            <w:r>
              <w:rPr>
                <w:rFonts w:ascii="Arial Unicode MS" w:eastAsia="Arial Unicode MS" w:hAnsi="Arial Unicode MS" w:cs="Arial Unicode MS"/>
                <w:bCs/>
                <w:sz w:val="24"/>
                <w:szCs w:val="24"/>
              </w:rPr>
              <w:t xml:space="preserve">. </w:t>
            </w:r>
          </w:p>
          <w:p w:rsidR="00AD1EF0" w:rsidRPr="00AD1EF0" w:rsidRDefault="00AD1EF0" w:rsidP="00AD1EF0">
            <w:pPr>
              <w:spacing w:line="240" w:lineRule="atLeast"/>
              <w:jc w:val="both"/>
              <w:rPr>
                <w:rFonts w:ascii="Arial Unicode MS" w:eastAsia="Arial Unicode MS" w:hAnsi="Arial Unicode MS" w:cs="Arial Unicode MS"/>
                <w:bCs/>
                <w:sz w:val="24"/>
                <w:szCs w:val="24"/>
              </w:rPr>
            </w:pPr>
            <w:r>
              <w:rPr>
                <w:rFonts w:ascii="Arial Unicode MS" w:eastAsia="Arial Unicode MS" w:hAnsi="Arial Unicode MS" w:cs="Arial Unicode MS"/>
                <w:bCs/>
                <w:sz w:val="24"/>
                <w:szCs w:val="24"/>
              </w:rPr>
              <w:t xml:space="preserve"> </w:t>
            </w:r>
          </w:p>
          <w:p w:rsidR="00AD1EF0" w:rsidRDefault="00AD1EF0" w:rsidP="00AD1EF0">
            <w:pPr>
              <w:pStyle w:val="ListeParagraf"/>
              <w:numPr>
                <w:ilvl w:val="0"/>
                <w:numId w:val="17"/>
              </w:numPr>
              <w:spacing w:after="0" w:line="300" w:lineRule="atLeast"/>
              <w:jc w:val="both"/>
              <w:rPr>
                <w:rFonts w:ascii="Cambria" w:eastAsia="Batang" w:hAnsi="Cambria" w:cs="Arial"/>
                <w:b/>
              </w:rPr>
            </w:pPr>
            <w:proofErr w:type="gramStart"/>
            <w:r w:rsidRPr="00304F1C">
              <w:rPr>
                <w:rFonts w:ascii="Cambria" w:eastAsia="Batang" w:hAnsi="Cambria" w:cs="Arial"/>
                <w:b/>
              </w:rPr>
              <w:t>VERGİDEN İSTİSNA YURTİÇİ HARCIRAH TUTARLARI.</w:t>
            </w:r>
            <w:proofErr w:type="gramEnd"/>
          </w:p>
          <w:p w:rsidR="00AD1EF0" w:rsidRPr="00304F1C" w:rsidRDefault="00AD1EF0" w:rsidP="00AD1EF0">
            <w:pPr>
              <w:pStyle w:val="ListeParagraf"/>
              <w:spacing w:line="300" w:lineRule="atLeast"/>
              <w:ind w:left="1080"/>
              <w:jc w:val="both"/>
              <w:rPr>
                <w:rFonts w:ascii="Cambria" w:eastAsia="Batang" w:hAnsi="Cambria" w:cs="Arial"/>
                <w:b/>
              </w:rPr>
            </w:pPr>
          </w:p>
          <w:tbl>
            <w:tblPr>
              <w:tblW w:w="547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Look w:val="0000" w:firstRow="0" w:lastRow="0" w:firstColumn="0" w:lastColumn="0" w:noHBand="0" w:noVBand="0"/>
            </w:tblPr>
            <w:tblGrid>
              <w:gridCol w:w="3215"/>
              <w:gridCol w:w="2262"/>
            </w:tblGrid>
            <w:tr w:rsidR="00AD1EF0" w:rsidRPr="00304F1C" w:rsidTr="0090029C">
              <w:trPr>
                <w:trHeight w:val="231"/>
                <w:tblCellSpacing w:w="20" w:type="dxa"/>
                <w:jc w:val="center"/>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1EF0" w:rsidRPr="00304F1C" w:rsidRDefault="00AD1EF0" w:rsidP="00AD1EF0">
                  <w:pPr>
                    <w:jc w:val="center"/>
                    <w:rPr>
                      <w:rFonts w:ascii="Cambria" w:hAnsi="Cambria"/>
                      <w:b/>
                      <w:sz w:val="18"/>
                      <w:szCs w:val="18"/>
                    </w:rPr>
                  </w:pPr>
                  <w:r w:rsidRPr="007E629B">
                    <w:rPr>
                      <w:rFonts w:ascii="Cambria" w:hAnsi="Cambria"/>
                      <w:b/>
                      <w:sz w:val="18"/>
                      <w:szCs w:val="18"/>
                    </w:rPr>
                    <w:t>01/01/2017-30/06 /</w:t>
                  </w:r>
                  <w:proofErr w:type="gramStart"/>
                  <w:r w:rsidRPr="007E629B">
                    <w:rPr>
                      <w:rFonts w:ascii="Cambria" w:hAnsi="Cambria"/>
                      <w:b/>
                      <w:sz w:val="18"/>
                      <w:szCs w:val="18"/>
                    </w:rPr>
                    <w:t xml:space="preserve">2017 </w:t>
                  </w:r>
                  <w:r>
                    <w:rPr>
                      <w:rFonts w:ascii="Cambria" w:hAnsi="Cambria"/>
                      <w:b/>
                      <w:sz w:val="18"/>
                      <w:szCs w:val="18"/>
                    </w:rPr>
                    <w:t xml:space="preserve"> </w:t>
                  </w:r>
                  <w:r w:rsidRPr="00304F1C">
                    <w:rPr>
                      <w:rFonts w:ascii="Cambria" w:hAnsi="Cambria"/>
                      <w:b/>
                      <w:sz w:val="18"/>
                      <w:szCs w:val="18"/>
                    </w:rPr>
                    <w:t>TARİHLERİ</w:t>
                  </w:r>
                  <w:proofErr w:type="gramEnd"/>
                  <w:r w:rsidRPr="00304F1C">
                    <w:rPr>
                      <w:rFonts w:ascii="Cambria" w:hAnsi="Cambria"/>
                      <w:b/>
                      <w:sz w:val="18"/>
                      <w:szCs w:val="18"/>
                    </w:rPr>
                    <w:t xml:space="preserve"> ARASI GELİR VERGİSİNDEN İSTİSNA YURTİÇİ HARCIRAH TUTARLARI</w:t>
                  </w:r>
                </w:p>
              </w:tc>
            </w:tr>
            <w:tr w:rsidR="00AD1EF0" w:rsidRPr="00304F1C" w:rsidTr="0090029C">
              <w:trPr>
                <w:trHeight w:val="231"/>
                <w:tblCellSpacing w:w="20" w:type="dxa"/>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vAlign w:val="center"/>
                </w:tcPr>
                <w:p w:rsidR="00AD1EF0" w:rsidRPr="00304F1C" w:rsidRDefault="00AD1EF0" w:rsidP="00AD1EF0">
                  <w:pPr>
                    <w:jc w:val="center"/>
                    <w:rPr>
                      <w:rFonts w:ascii="Cambria" w:hAnsi="Cambria"/>
                      <w:b/>
                      <w:sz w:val="18"/>
                      <w:szCs w:val="18"/>
                    </w:rPr>
                  </w:pPr>
                  <w:r w:rsidRPr="00304F1C">
                    <w:rPr>
                      <w:rFonts w:ascii="Cambria" w:hAnsi="Cambria"/>
                      <w:b/>
                      <w:sz w:val="18"/>
                      <w:szCs w:val="18"/>
                    </w:rPr>
                    <w:t>Gündeliklerin Tekabül Ettiği</w:t>
                  </w:r>
                  <w:r>
                    <w:rPr>
                      <w:rFonts w:ascii="Cambria" w:hAnsi="Cambria"/>
                      <w:b/>
                      <w:sz w:val="18"/>
                      <w:szCs w:val="18"/>
                    </w:rPr>
                    <w:t xml:space="preserve">                 </w:t>
                  </w:r>
                  <w:r w:rsidRPr="00304F1C">
                    <w:rPr>
                      <w:rFonts w:ascii="Cambria" w:hAnsi="Cambria"/>
                      <w:b/>
                      <w:sz w:val="18"/>
                      <w:szCs w:val="18"/>
                    </w:rPr>
                    <w:t>Brüt Aylık Tutarı</w:t>
                  </w:r>
                  <w:r>
                    <w:rPr>
                      <w:rFonts w:ascii="Cambria" w:hAnsi="Cambria"/>
                      <w:b/>
                      <w:sz w:val="18"/>
                      <w:szCs w:val="18"/>
                    </w:rPr>
                    <w:t xml:space="preserve"> </w:t>
                  </w:r>
                  <w:r w:rsidRPr="00304F1C">
                    <w:rPr>
                      <w:rFonts w:ascii="Cambria" w:hAnsi="Cambria"/>
                      <w:b/>
                      <w:sz w:val="18"/>
                      <w:szCs w:val="18"/>
                    </w:rPr>
                    <w:t>(TL)</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D1EF0" w:rsidRPr="00304F1C" w:rsidRDefault="00AD1EF0" w:rsidP="00AD1EF0">
                  <w:pPr>
                    <w:jc w:val="center"/>
                    <w:rPr>
                      <w:rFonts w:ascii="Cambria" w:hAnsi="Cambria"/>
                      <w:b/>
                      <w:sz w:val="18"/>
                      <w:szCs w:val="18"/>
                    </w:rPr>
                  </w:pPr>
                  <w:r w:rsidRPr="00304F1C">
                    <w:rPr>
                      <w:rFonts w:ascii="Cambria" w:hAnsi="Cambria"/>
                      <w:b/>
                      <w:sz w:val="18"/>
                      <w:szCs w:val="18"/>
                    </w:rPr>
                    <w:t xml:space="preserve">Vergiden </w:t>
                  </w:r>
                  <w:proofErr w:type="gramStart"/>
                  <w:r w:rsidRPr="00304F1C">
                    <w:rPr>
                      <w:rFonts w:ascii="Cambria" w:hAnsi="Cambria"/>
                      <w:b/>
                      <w:sz w:val="18"/>
                      <w:szCs w:val="18"/>
                    </w:rPr>
                    <w:t>İstisna</w:t>
                  </w:r>
                  <w:r>
                    <w:rPr>
                      <w:rFonts w:ascii="Cambria" w:hAnsi="Cambria"/>
                      <w:b/>
                      <w:sz w:val="18"/>
                      <w:szCs w:val="18"/>
                    </w:rPr>
                    <w:t xml:space="preserve">       </w:t>
                  </w:r>
                  <w:r w:rsidRPr="00304F1C">
                    <w:rPr>
                      <w:rFonts w:ascii="Cambria" w:hAnsi="Cambria"/>
                      <w:b/>
                      <w:sz w:val="18"/>
                      <w:szCs w:val="18"/>
                    </w:rPr>
                    <w:t xml:space="preserve"> Gündelik</w:t>
                  </w:r>
                  <w:proofErr w:type="gramEnd"/>
                  <w:r>
                    <w:rPr>
                      <w:rFonts w:ascii="Cambria" w:hAnsi="Cambria"/>
                      <w:b/>
                      <w:sz w:val="18"/>
                      <w:szCs w:val="18"/>
                    </w:rPr>
                    <w:t xml:space="preserve"> </w:t>
                  </w:r>
                  <w:r w:rsidRPr="00304F1C">
                    <w:rPr>
                      <w:rFonts w:ascii="Cambria" w:hAnsi="Cambria"/>
                      <w:b/>
                      <w:sz w:val="18"/>
                      <w:szCs w:val="18"/>
                    </w:rPr>
                    <w:t>Tutarı (TL)</w:t>
                  </w:r>
                </w:p>
              </w:tc>
            </w:tr>
            <w:tr w:rsidR="00AD1EF0" w:rsidRPr="00304F1C" w:rsidTr="0090029C">
              <w:trPr>
                <w:trHeight w:val="532"/>
                <w:tblCellSpacing w:w="20" w:type="dxa"/>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EF0" w:rsidRPr="00D6133B" w:rsidRDefault="00AD1EF0" w:rsidP="00AD1EF0">
                  <w:pPr>
                    <w:spacing w:line="300" w:lineRule="atLeast"/>
                    <w:rPr>
                      <w:rFonts w:ascii="Cambria" w:eastAsia="Batang" w:hAnsi="Cambria" w:cs="Arial"/>
                    </w:rPr>
                  </w:pPr>
                  <w:r w:rsidRPr="00D6133B">
                    <w:rPr>
                      <w:rFonts w:ascii="Cambria" w:eastAsia="Batang" w:hAnsi="Cambria" w:cs="Arial"/>
                    </w:rPr>
                    <w:t>2</w:t>
                  </w:r>
                  <w:r>
                    <w:rPr>
                      <w:rFonts w:ascii="Cambria" w:eastAsia="Batang" w:hAnsi="Cambria" w:cs="Arial"/>
                    </w:rPr>
                    <w:t>.416,</w:t>
                  </w:r>
                  <w:r w:rsidRPr="00D6133B">
                    <w:rPr>
                      <w:rFonts w:ascii="Cambria" w:eastAsia="Batang" w:hAnsi="Cambria" w:cs="Arial"/>
                    </w:rPr>
                    <w:t>15 TL ve fazlası</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D1EF0" w:rsidRPr="00304F1C" w:rsidRDefault="00AD1EF0" w:rsidP="00AD1EF0">
                  <w:pPr>
                    <w:spacing w:line="300" w:lineRule="atLeast"/>
                    <w:jc w:val="center"/>
                    <w:rPr>
                      <w:rFonts w:ascii="Cambria" w:eastAsia="Batang" w:hAnsi="Cambria" w:cs="Arial"/>
                    </w:rPr>
                  </w:pPr>
                  <w:r>
                    <w:rPr>
                      <w:rFonts w:ascii="Cambria" w:eastAsia="Batang" w:hAnsi="Cambria" w:cs="Arial"/>
                    </w:rPr>
                    <w:t>57,</w:t>
                  </w:r>
                  <w:r w:rsidRPr="00AF4304">
                    <w:rPr>
                      <w:rFonts w:ascii="Cambria" w:eastAsia="Batang" w:hAnsi="Cambria" w:cs="Arial"/>
                    </w:rPr>
                    <w:t>50</w:t>
                  </w:r>
                </w:p>
              </w:tc>
            </w:tr>
            <w:tr w:rsidR="00AD1EF0" w:rsidRPr="00AF4304" w:rsidTr="0090029C">
              <w:trPr>
                <w:tblCellSpacing w:w="20" w:type="dxa"/>
                <w:jc w:val="center"/>
              </w:trPr>
              <w:tc>
                <w:tcPr>
                  <w:tcW w:w="3155" w:type="dxa"/>
                  <w:tcBorders>
                    <w:top w:val="nil"/>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spacing w:line="300" w:lineRule="atLeast"/>
                    <w:rPr>
                      <w:rFonts w:ascii="Cambria" w:eastAsia="Batang" w:hAnsi="Cambria" w:cs="Arial"/>
                    </w:rPr>
                  </w:pPr>
                  <w:r w:rsidRPr="00B377DC">
                    <w:rPr>
                      <w:rFonts w:ascii="Cambria" w:eastAsia="Batang" w:hAnsi="Cambria" w:cs="Arial"/>
                    </w:rPr>
                    <w:t>2.398,86-2.416,14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D1EF0" w:rsidRPr="00AF4304" w:rsidRDefault="00AD1EF0" w:rsidP="00AD1EF0">
                  <w:pPr>
                    <w:spacing w:line="300" w:lineRule="atLeast"/>
                    <w:jc w:val="center"/>
                    <w:rPr>
                      <w:rFonts w:ascii="Cambria" w:eastAsia="Batang" w:hAnsi="Cambria" w:cs="Arial"/>
                    </w:rPr>
                  </w:pPr>
                  <w:r>
                    <w:rPr>
                      <w:rFonts w:ascii="Cambria" w:eastAsia="Batang" w:hAnsi="Cambria" w:cs="Arial"/>
                    </w:rPr>
                    <w:t>48,</w:t>
                  </w:r>
                  <w:r w:rsidRPr="00AF4304">
                    <w:rPr>
                      <w:rFonts w:ascii="Cambria" w:eastAsia="Batang" w:hAnsi="Cambria" w:cs="Arial"/>
                    </w:rPr>
                    <w:t>25</w:t>
                  </w:r>
                </w:p>
              </w:tc>
            </w:tr>
            <w:tr w:rsidR="00AD1EF0" w:rsidRPr="00AF4304" w:rsidTr="0090029C">
              <w:trPr>
                <w:tblCellSpacing w:w="20" w:type="dxa"/>
                <w:jc w:val="center"/>
              </w:trPr>
              <w:tc>
                <w:tcPr>
                  <w:tcW w:w="3155" w:type="dxa"/>
                  <w:tcBorders>
                    <w:top w:val="nil"/>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spacing w:line="300" w:lineRule="atLeast"/>
                    <w:rPr>
                      <w:rFonts w:ascii="Cambria" w:eastAsia="Batang" w:hAnsi="Cambria" w:cs="Arial"/>
                    </w:rPr>
                  </w:pPr>
                  <w:r w:rsidRPr="00B377DC">
                    <w:rPr>
                      <w:rFonts w:ascii="Cambria" w:eastAsia="Batang" w:hAnsi="Cambria" w:cs="Arial"/>
                    </w:rPr>
                    <w:t>2.187,53-2.398,85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D1EF0" w:rsidRPr="00AF4304" w:rsidRDefault="00AD1EF0" w:rsidP="00AD1EF0">
                  <w:pPr>
                    <w:spacing w:line="300" w:lineRule="atLeast"/>
                    <w:jc w:val="center"/>
                    <w:rPr>
                      <w:rFonts w:ascii="Cambria" w:eastAsia="Batang" w:hAnsi="Cambria" w:cs="Arial"/>
                    </w:rPr>
                  </w:pPr>
                  <w:r>
                    <w:rPr>
                      <w:rFonts w:ascii="Cambria" w:eastAsia="Batang" w:hAnsi="Cambria" w:cs="Arial"/>
                    </w:rPr>
                    <w:t>45,</w:t>
                  </w:r>
                  <w:r w:rsidRPr="00AF4304">
                    <w:rPr>
                      <w:rFonts w:ascii="Cambria" w:eastAsia="Batang" w:hAnsi="Cambria" w:cs="Arial"/>
                    </w:rPr>
                    <w:t>00</w:t>
                  </w:r>
                </w:p>
              </w:tc>
            </w:tr>
            <w:tr w:rsidR="00AD1EF0" w:rsidRPr="00AF4304" w:rsidTr="0090029C">
              <w:trPr>
                <w:tblCellSpacing w:w="20" w:type="dxa"/>
                <w:jc w:val="center"/>
              </w:trPr>
              <w:tc>
                <w:tcPr>
                  <w:tcW w:w="3155" w:type="dxa"/>
                  <w:tcBorders>
                    <w:top w:val="nil"/>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spacing w:line="300" w:lineRule="atLeast"/>
                    <w:rPr>
                      <w:rFonts w:ascii="Cambria" w:eastAsia="Batang" w:hAnsi="Cambria" w:cs="Arial"/>
                    </w:rPr>
                  </w:pPr>
                  <w:r w:rsidRPr="00B377DC">
                    <w:rPr>
                      <w:rFonts w:ascii="Cambria" w:eastAsia="Batang" w:hAnsi="Cambria" w:cs="Arial"/>
                    </w:rPr>
                    <w:t>1.918,57-2.187,52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D1EF0" w:rsidRPr="00AF4304" w:rsidRDefault="00AD1EF0" w:rsidP="00AD1EF0">
                  <w:pPr>
                    <w:spacing w:line="300" w:lineRule="atLeast"/>
                    <w:jc w:val="center"/>
                    <w:rPr>
                      <w:rFonts w:ascii="Cambria" w:eastAsia="Batang" w:hAnsi="Cambria" w:cs="Arial"/>
                    </w:rPr>
                  </w:pPr>
                  <w:r>
                    <w:rPr>
                      <w:rFonts w:ascii="Cambria" w:eastAsia="Batang" w:hAnsi="Cambria" w:cs="Arial"/>
                    </w:rPr>
                    <w:t>42,</w:t>
                  </w:r>
                  <w:r w:rsidRPr="00AF4304">
                    <w:rPr>
                      <w:rFonts w:ascii="Cambria" w:eastAsia="Batang" w:hAnsi="Cambria" w:cs="Arial"/>
                    </w:rPr>
                    <w:t>5</w:t>
                  </w:r>
                  <w:r>
                    <w:rPr>
                      <w:rFonts w:ascii="Cambria" w:eastAsia="Batang" w:hAnsi="Cambria" w:cs="Arial"/>
                    </w:rPr>
                    <w:t>0</w:t>
                  </w:r>
                </w:p>
              </w:tc>
            </w:tr>
            <w:tr w:rsidR="00AD1EF0" w:rsidRPr="00AF4304" w:rsidTr="0090029C">
              <w:trPr>
                <w:tblCellSpacing w:w="20" w:type="dxa"/>
                <w:jc w:val="center"/>
              </w:trPr>
              <w:tc>
                <w:tcPr>
                  <w:tcW w:w="3155" w:type="dxa"/>
                  <w:tcBorders>
                    <w:top w:val="nil"/>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spacing w:line="300" w:lineRule="atLeast"/>
                    <w:rPr>
                      <w:rFonts w:ascii="Cambria" w:eastAsia="Batang" w:hAnsi="Cambria" w:cs="Arial"/>
                    </w:rPr>
                  </w:pPr>
                  <w:r w:rsidRPr="00B377DC">
                    <w:rPr>
                      <w:rFonts w:ascii="Cambria" w:eastAsia="Batang" w:hAnsi="Cambria" w:cs="Arial"/>
                    </w:rPr>
                    <w:lastRenderedPageBreak/>
                    <w:t>1.591,49-1.918,56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D1EF0" w:rsidRPr="00AF4304" w:rsidRDefault="00AD1EF0" w:rsidP="00AD1EF0">
                  <w:pPr>
                    <w:spacing w:line="300" w:lineRule="atLeast"/>
                    <w:jc w:val="center"/>
                    <w:rPr>
                      <w:rFonts w:ascii="Cambria" w:eastAsia="Batang" w:hAnsi="Cambria" w:cs="Arial"/>
                    </w:rPr>
                  </w:pPr>
                  <w:r>
                    <w:rPr>
                      <w:rFonts w:ascii="Cambria" w:eastAsia="Batang" w:hAnsi="Cambria" w:cs="Arial"/>
                    </w:rPr>
                    <w:t>37,</w:t>
                  </w:r>
                  <w:r w:rsidRPr="00AF4304">
                    <w:rPr>
                      <w:rFonts w:ascii="Cambria" w:eastAsia="Batang" w:hAnsi="Cambria" w:cs="Arial"/>
                    </w:rPr>
                    <w:t>25</w:t>
                  </w:r>
                </w:p>
              </w:tc>
            </w:tr>
            <w:tr w:rsidR="00AD1EF0" w:rsidRPr="00AF4304" w:rsidTr="0090029C">
              <w:trPr>
                <w:tblCellSpacing w:w="20" w:type="dxa"/>
                <w:jc w:val="center"/>
              </w:trPr>
              <w:tc>
                <w:tcPr>
                  <w:tcW w:w="3155" w:type="dxa"/>
                  <w:tcBorders>
                    <w:top w:val="nil"/>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spacing w:line="300" w:lineRule="atLeast"/>
                    <w:rPr>
                      <w:rFonts w:ascii="Cambria" w:eastAsia="Batang" w:hAnsi="Cambria" w:cs="Arial"/>
                    </w:rPr>
                  </w:pPr>
                  <w:r w:rsidRPr="00B377DC">
                    <w:rPr>
                      <w:rFonts w:ascii="Cambria" w:eastAsia="Batang" w:hAnsi="Cambria" w:cs="Arial"/>
                    </w:rPr>
                    <w:t>1.591,48 TL ve daha azı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D1EF0" w:rsidRPr="00AF4304" w:rsidRDefault="00AD1EF0" w:rsidP="00AD1EF0">
                  <w:pPr>
                    <w:spacing w:line="300" w:lineRule="atLeast"/>
                    <w:jc w:val="center"/>
                    <w:rPr>
                      <w:rFonts w:ascii="Cambria" w:eastAsia="Batang" w:hAnsi="Cambria" w:cs="Arial"/>
                    </w:rPr>
                  </w:pPr>
                  <w:r>
                    <w:rPr>
                      <w:rFonts w:ascii="Cambria" w:eastAsia="Batang" w:hAnsi="Cambria" w:cs="Arial"/>
                    </w:rPr>
                    <w:t>36,</w:t>
                  </w:r>
                  <w:r w:rsidRPr="00AF4304">
                    <w:rPr>
                      <w:rFonts w:ascii="Cambria" w:eastAsia="Batang" w:hAnsi="Cambria" w:cs="Arial"/>
                    </w:rPr>
                    <w:t>25</w:t>
                  </w:r>
                </w:p>
              </w:tc>
            </w:tr>
          </w:tbl>
          <w:p w:rsidR="00AD1EF0" w:rsidRDefault="00AD1EF0" w:rsidP="00AD1EF0">
            <w:pPr>
              <w:pStyle w:val="ListeParagraf"/>
              <w:spacing w:line="300" w:lineRule="atLeast"/>
              <w:ind w:left="1080"/>
              <w:jc w:val="both"/>
              <w:rPr>
                <w:rFonts w:ascii="Cambria" w:eastAsia="Batang" w:hAnsi="Cambria" w:cs="Arial"/>
                <w:b/>
              </w:rPr>
            </w:pPr>
          </w:p>
          <w:p w:rsidR="00AD1EF0" w:rsidRDefault="00AD1EF0" w:rsidP="00AD1EF0">
            <w:pPr>
              <w:pStyle w:val="ListeParagraf"/>
              <w:numPr>
                <w:ilvl w:val="0"/>
                <w:numId w:val="17"/>
              </w:numPr>
              <w:spacing w:after="0" w:line="300" w:lineRule="atLeast"/>
              <w:jc w:val="both"/>
              <w:rPr>
                <w:rFonts w:ascii="Cambria" w:eastAsia="Batang" w:hAnsi="Cambria" w:cs="Arial"/>
                <w:b/>
              </w:rPr>
            </w:pPr>
            <w:proofErr w:type="gramStart"/>
            <w:r w:rsidRPr="00304F1C">
              <w:rPr>
                <w:rFonts w:ascii="Cambria" w:eastAsia="Batang" w:hAnsi="Cambria" w:cs="Arial"/>
                <w:b/>
              </w:rPr>
              <w:t>VERGİDEN İSTİSNA YURTDIŞI HARCIRAH TUTARLARI.</w:t>
            </w:r>
            <w:proofErr w:type="gramEnd"/>
          </w:p>
          <w:p w:rsidR="00AD1EF0" w:rsidRPr="00304F1C" w:rsidRDefault="00AD1EF0" w:rsidP="00AD1EF0">
            <w:pPr>
              <w:pStyle w:val="ListeParagraf"/>
              <w:spacing w:after="0" w:line="300" w:lineRule="atLeast"/>
              <w:ind w:left="1080"/>
              <w:jc w:val="both"/>
              <w:rPr>
                <w:rFonts w:ascii="Cambria" w:eastAsia="Batang" w:hAnsi="Cambria" w:cs="Arial"/>
                <w:b/>
              </w:rPr>
            </w:pPr>
          </w:p>
          <w:tbl>
            <w:tblPr>
              <w:tblW w:w="890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85"/>
              <w:gridCol w:w="1249"/>
              <w:gridCol w:w="1194"/>
              <w:gridCol w:w="1046"/>
              <w:gridCol w:w="1008"/>
              <w:gridCol w:w="1050"/>
              <w:gridCol w:w="1050"/>
              <w:gridCol w:w="1327"/>
            </w:tblGrid>
            <w:tr w:rsidR="00AD1EF0" w:rsidRPr="00304F1C" w:rsidTr="00AD1EF0">
              <w:trPr>
                <w:trHeight w:val="528"/>
                <w:tblCellSpacing w:w="20" w:type="dxa"/>
                <w:jc w:val="center"/>
              </w:trPr>
              <w:tc>
                <w:tcPr>
                  <w:tcW w:w="925" w:type="dxa"/>
                </w:tcPr>
                <w:p w:rsidR="00AD1EF0" w:rsidRPr="00304F1C" w:rsidRDefault="00AD1EF0" w:rsidP="00AD1EF0">
                  <w:pPr>
                    <w:jc w:val="center"/>
                    <w:rPr>
                      <w:rFonts w:ascii="Cambria" w:eastAsia="Batang" w:hAnsi="Cambria"/>
                      <w:b/>
                      <w:spacing w:val="-4"/>
                      <w:sz w:val="16"/>
                      <w:szCs w:val="16"/>
                    </w:rPr>
                  </w:pPr>
                </w:p>
              </w:tc>
              <w:tc>
                <w:tcPr>
                  <w:tcW w:w="7864" w:type="dxa"/>
                  <w:gridSpan w:val="7"/>
                  <w:shd w:val="clear" w:color="auto" w:fill="auto"/>
                </w:tcPr>
                <w:p w:rsidR="00AD1EF0" w:rsidRPr="00304F1C" w:rsidRDefault="00AD1EF0" w:rsidP="00AD1EF0">
                  <w:pPr>
                    <w:jc w:val="center"/>
                    <w:rPr>
                      <w:rFonts w:ascii="Cambria" w:eastAsia="Batang" w:hAnsi="Cambria"/>
                      <w:b/>
                      <w:spacing w:val="-4"/>
                      <w:sz w:val="16"/>
                      <w:szCs w:val="16"/>
                    </w:rPr>
                  </w:pPr>
                  <w:proofErr w:type="gramStart"/>
                  <w:r w:rsidRPr="00304F1C">
                    <w:rPr>
                      <w:rFonts w:ascii="Cambria" w:eastAsia="Batang" w:hAnsi="Cambria"/>
                      <w:b/>
                      <w:spacing w:val="-4"/>
                      <w:sz w:val="16"/>
                      <w:szCs w:val="16"/>
                    </w:rPr>
                    <w:t>01/0</w:t>
                  </w:r>
                  <w:r>
                    <w:rPr>
                      <w:rFonts w:ascii="Cambria" w:eastAsia="Batang" w:hAnsi="Cambria"/>
                      <w:b/>
                      <w:spacing w:val="-4"/>
                      <w:sz w:val="16"/>
                      <w:szCs w:val="16"/>
                    </w:rPr>
                    <w:t>1</w:t>
                  </w:r>
                  <w:r w:rsidRPr="00304F1C">
                    <w:rPr>
                      <w:rFonts w:ascii="Cambria" w:eastAsia="Batang" w:hAnsi="Cambria"/>
                      <w:b/>
                      <w:spacing w:val="-4"/>
                      <w:sz w:val="16"/>
                      <w:szCs w:val="16"/>
                    </w:rPr>
                    <w:t>/201</w:t>
                  </w:r>
                  <w:r>
                    <w:rPr>
                      <w:rFonts w:ascii="Cambria" w:eastAsia="Batang" w:hAnsi="Cambria"/>
                      <w:b/>
                      <w:spacing w:val="-4"/>
                      <w:sz w:val="16"/>
                      <w:szCs w:val="16"/>
                    </w:rPr>
                    <w:t>7</w:t>
                  </w:r>
                  <w:proofErr w:type="gramEnd"/>
                  <w:r w:rsidRPr="00304F1C">
                    <w:rPr>
                      <w:rFonts w:ascii="Cambria" w:eastAsia="Batang" w:hAnsi="Cambria"/>
                      <w:b/>
                      <w:spacing w:val="-4"/>
                      <w:sz w:val="16"/>
                      <w:szCs w:val="16"/>
                    </w:rPr>
                    <w:t>-3</w:t>
                  </w:r>
                  <w:r>
                    <w:rPr>
                      <w:rFonts w:ascii="Cambria" w:eastAsia="Batang" w:hAnsi="Cambria"/>
                      <w:b/>
                      <w:spacing w:val="-4"/>
                      <w:sz w:val="16"/>
                      <w:szCs w:val="16"/>
                    </w:rPr>
                    <w:t>0</w:t>
                  </w:r>
                  <w:r w:rsidRPr="00304F1C">
                    <w:rPr>
                      <w:rFonts w:ascii="Cambria" w:eastAsia="Batang" w:hAnsi="Cambria"/>
                      <w:b/>
                      <w:spacing w:val="-4"/>
                      <w:sz w:val="16"/>
                      <w:szCs w:val="16"/>
                    </w:rPr>
                    <w:t>/</w:t>
                  </w:r>
                  <w:r>
                    <w:rPr>
                      <w:rFonts w:ascii="Cambria" w:eastAsia="Batang" w:hAnsi="Cambria"/>
                      <w:b/>
                      <w:spacing w:val="-4"/>
                      <w:sz w:val="16"/>
                      <w:szCs w:val="16"/>
                    </w:rPr>
                    <w:t>06</w:t>
                  </w:r>
                  <w:r w:rsidRPr="00304F1C">
                    <w:rPr>
                      <w:rFonts w:ascii="Cambria" w:eastAsia="Batang" w:hAnsi="Cambria"/>
                      <w:b/>
                      <w:spacing w:val="-4"/>
                      <w:sz w:val="16"/>
                      <w:szCs w:val="16"/>
                    </w:rPr>
                    <w:t xml:space="preserve"> /201</w:t>
                  </w:r>
                  <w:r>
                    <w:rPr>
                      <w:rFonts w:ascii="Cambria" w:eastAsia="Batang" w:hAnsi="Cambria"/>
                      <w:b/>
                      <w:spacing w:val="-4"/>
                      <w:sz w:val="16"/>
                      <w:szCs w:val="16"/>
                    </w:rPr>
                    <w:t>7</w:t>
                  </w:r>
                  <w:r w:rsidRPr="00304F1C">
                    <w:rPr>
                      <w:rFonts w:ascii="Cambria" w:eastAsia="Batang" w:hAnsi="Cambria"/>
                      <w:b/>
                      <w:spacing w:val="-4"/>
                      <w:sz w:val="16"/>
                      <w:szCs w:val="16"/>
                    </w:rPr>
                    <w:t xml:space="preserve"> TARİHLERİ ARASI</w:t>
                  </w:r>
                </w:p>
                <w:p w:rsidR="00AD1EF0" w:rsidRPr="00304F1C" w:rsidRDefault="00AD1EF0" w:rsidP="00AD1EF0">
                  <w:pPr>
                    <w:jc w:val="center"/>
                    <w:rPr>
                      <w:rFonts w:ascii="Cambria" w:hAnsi="Cambria"/>
                      <w:b/>
                      <w:bCs/>
                      <w:snapToGrid w:val="0"/>
                      <w:sz w:val="16"/>
                      <w:szCs w:val="16"/>
                    </w:rPr>
                  </w:pPr>
                  <w:r w:rsidRPr="00304F1C">
                    <w:rPr>
                      <w:rFonts w:ascii="Cambria" w:hAnsi="Cambria"/>
                      <w:b/>
                      <w:bCs/>
                      <w:iCs/>
                      <w:sz w:val="16"/>
                      <w:szCs w:val="16"/>
                    </w:rPr>
                    <w:t>BRÜT AYLIK TUTARLARINA GÖRE BELİRLENMİŞ GELİR DİLİMİ GRUPLARI VE BU GRUPLAR İÇİN TESPİT EDİLMİŞ OLAN YURTDIŞI GÜNDELİK TUTARLARI</w:t>
                  </w:r>
                </w:p>
              </w:tc>
            </w:tr>
            <w:tr w:rsidR="00AD1EF0" w:rsidRPr="00304F1C" w:rsidTr="00AD1EF0">
              <w:trPr>
                <w:trHeight w:val="300"/>
                <w:tblCellSpacing w:w="20" w:type="dxa"/>
                <w:jc w:val="center"/>
              </w:trPr>
              <w:tc>
                <w:tcPr>
                  <w:tcW w:w="925" w:type="dxa"/>
                </w:tcPr>
                <w:p w:rsidR="00AD1EF0" w:rsidRPr="00304F1C" w:rsidRDefault="00AD1EF0" w:rsidP="00AD1EF0">
                  <w:pPr>
                    <w:jc w:val="center"/>
                    <w:rPr>
                      <w:rFonts w:ascii="Cambria" w:hAnsi="Cambria"/>
                      <w:b/>
                      <w:bCs/>
                      <w:snapToGrid w:val="0"/>
                      <w:sz w:val="16"/>
                      <w:szCs w:val="16"/>
                    </w:rPr>
                  </w:pPr>
                </w:p>
              </w:tc>
              <w:tc>
                <w:tcPr>
                  <w:tcW w:w="7864" w:type="dxa"/>
                  <w:gridSpan w:val="7"/>
                  <w:shd w:val="clear" w:color="auto" w:fill="auto"/>
                </w:tcPr>
                <w:p w:rsidR="00AD1EF0" w:rsidRPr="00304F1C" w:rsidRDefault="00AD1EF0" w:rsidP="00AD1EF0">
                  <w:pPr>
                    <w:jc w:val="center"/>
                    <w:rPr>
                      <w:rFonts w:ascii="Cambria" w:hAnsi="Cambria"/>
                      <w:b/>
                      <w:bCs/>
                      <w:sz w:val="16"/>
                      <w:szCs w:val="16"/>
                    </w:rPr>
                  </w:pPr>
                  <w:r w:rsidRPr="00304F1C">
                    <w:rPr>
                      <w:rFonts w:ascii="Cambria" w:hAnsi="Cambria"/>
                      <w:b/>
                      <w:bCs/>
                      <w:snapToGrid w:val="0"/>
                      <w:sz w:val="16"/>
                      <w:szCs w:val="16"/>
                    </w:rPr>
                    <w:t>ÜCRET GURUPLARI</w:t>
                  </w:r>
                </w:p>
              </w:tc>
            </w:tr>
            <w:tr w:rsidR="00AD1EF0" w:rsidRPr="00304F1C" w:rsidTr="00AD1EF0">
              <w:trPr>
                <w:trHeight w:val="555"/>
                <w:tblCellSpacing w:w="20" w:type="dxa"/>
                <w:jc w:val="center"/>
              </w:trPr>
              <w:tc>
                <w:tcPr>
                  <w:tcW w:w="2324" w:type="dxa"/>
                  <w:gridSpan w:val="2"/>
                  <w:vMerge w:val="restart"/>
                  <w:shd w:val="clear" w:color="auto" w:fill="auto"/>
                </w:tcPr>
                <w:p w:rsidR="00AD1EF0" w:rsidRPr="00304F1C" w:rsidRDefault="00AD1EF0" w:rsidP="00AD1EF0">
                  <w:pPr>
                    <w:spacing w:line="280" w:lineRule="atLeast"/>
                    <w:jc w:val="center"/>
                    <w:rPr>
                      <w:rFonts w:ascii="Cambria" w:hAnsi="Cambria"/>
                      <w:b/>
                      <w:bCs/>
                      <w:sz w:val="16"/>
                      <w:szCs w:val="16"/>
                    </w:rPr>
                  </w:pPr>
                  <w:r w:rsidRPr="00304F1C">
                    <w:rPr>
                      <w:rFonts w:ascii="Cambria" w:hAnsi="Cambria"/>
                      <w:b/>
                      <w:bCs/>
                      <w:sz w:val="16"/>
                      <w:szCs w:val="16"/>
                    </w:rPr>
                    <w:t>Ülkeler ve Para Birimi</w:t>
                  </w:r>
                </w:p>
              </w:tc>
              <w:tc>
                <w:tcPr>
                  <w:tcW w:w="1124" w:type="dxa"/>
                  <w:shd w:val="clear" w:color="auto" w:fill="auto"/>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II. Sütun</w:t>
                  </w:r>
                </w:p>
              </w:tc>
              <w:tc>
                <w:tcPr>
                  <w:tcW w:w="976" w:type="dxa"/>
                  <w:shd w:val="clear" w:color="auto" w:fill="auto"/>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III. Sütun</w:t>
                  </w:r>
                </w:p>
              </w:tc>
              <w:tc>
                <w:tcPr>
                  <w:tcW w:w="968" w:type="dxa"/>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IV. Sütun</w:t>
                  </w:r>
                </w:p>
              </w:tc>
              <w:tc>
                <w:tcPr>
                  <w:tcW w:w="980" w:type="dxa"/>
                  <w:shd w:val="clear" w:color="auto" w:fill="auto"/>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V. Sütun</w:t>
                  </w:r>
                </w:p>
              </w:tc>
              <w:tc>
                <w:tcPr>
                  <w:tcW w:w="980" w:type="dxa"/>
                  <w:shd w:val="clear" w:color="auto" w:fill="auto"/>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VI. Sütun</w:t>
                  </w:r>
                </w:p>
              </w:tc>
              <w:tc>
                <w:tcPr>
                  <w:tcW w:w="1237" w:type="dxa"/>
                  <w:shd w:val="clear" w:color="auto" w:fill="auto"/>
                </w:tcPr>
                <w:p w:rsidR="00AD1EF0" w:rsidRPr="00304F1C" w:rsidRDefault="00AD1EF0" w:rsidP="00AD1EF0">
                  <w:pPr>
                    <w:spacing w:line="280" w:lineRule="atLeast"/>
                    <w:jc w:val="center"/>
                    <w:rPr>
                      <w:rFonts w:ascii="Cambria" w:hAnsi="Cambria"/>
                      <w:b/>
                      <w:sz w:val="16"/>
                      <w:szCs w:val="16"/>
                    </w:rPr>
                  </w:pPr>
                  <w:r w:rsidRPr="00304F1C">
                    <w:rPr>
                      <w:rFonts w:ascii="Cambria" w:hAnsi="Cambria"/>
                      <w:b/>
                      <w:sz w:val="16"/>
                      <w:szCs w:val="16"/>
                    </w:rPr>
                    <w:t>VII. Sütun</w:t>
                  </w:r>
                </w:p>
              </w:tc>
            </w:tr>
            <w:tr w:rsidR="00AD1EF0" w:rsidRPr="00304F1C" w:rsidTr="00AD1EF0">
              <w:trPr>
                <w:trHeight w:val="683"/>
                <w:tblCellSpacing w:w="20" w:type="dxa"/>
                <w:jc w:val="center"/>
              </w:trPr>
              <w:tc>
                <w:tcPr>
                  <w:tcW w:w="2324" w:type="dxa"/>
                  <w:gridSpan w:val="2"/>
                  <w:vMerge/>
                  <w:shd w:val="clear" w:color="auto" w:fill="auto"/>
                </w:tcPr>
                <w:p w:rsidR="00AD1EF0" w:rsidRPr="00304F1C" w:rsidRDefault="00AD1EF0" w:rsidP="00AD1EF0">
                  <w:pPr>
                    <w:spacing w:line="280" w:lineRule="atLeast"/>
                    <w:jc w:val="center"/>
                    <w:rPr>
                      <w:rFonts w:ascii="Cambria" w:hAnsi="Cambria"/>
                      <w:b/>
                      <w:bCs/>
                      <w:sz w:val="16"/>
                      <w:szCs w:val="16"/>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EF0" w:rsidRPr="00B377DC" w:rsidRDefault="00AD1EF0" w:rsidP="00AD1EF0">
                  <w:pPr>
                    <w:jc w:val="center"/>
                    <w:rPr>
                      <w:rFonts w:ascii="Cambria" w:hAnsi="Cambria"/>
                      <w:color w:val="000000"/>
                      <w:sz w:val="18"/>
                      <w:szCs w:val="18"/>
                    </w:rPr>
                  </w:pPr>
                  <w:r w:rsidRPr="00B377DC">
                    <w:rPr>
                      <w:rFonts w:ascii="Cambria" w:hAnsi="Cambria"/>
                      <w:color w:val="000000"/>
                      <w:sz w:val="18"/>
                      <w:szCs w:val="18"/>
                    </w:rPr>
                    <w:t>2.416,15 TL ve fazlası</w:t>
                  </w:r>
                </w:p>
              </w:tc>
              <w:tc>
                <w:tcPr>
                  <w:tcW w:w="976" w:type="dxa"/>
                  <w:tcBorders>
                    <w:top w:val="single" w:sz="8" w:space="0" w:color="000000"/>
                    <w:left w:val="nil"/>
                    <w:bottom w:val="single" w:sz="8" w:space="0" w:color="000000"/>
                    <w:right w:val="single" w:sz="8" w:space="0" w:color="000000"/>
                  </w:tcBorders>
                  <w:shd w:val="clear" w:color="auto" w:fill="auto"/>
                  <w:vAlign w:val="center"/>
                </w:tcPr>
                <w:p w:rsidR="00AD1EF0" w:rsidRPr="00B377DC" w:rsidRDefault="00AD1EF0" w:rsidP="00AD1EF0">
                  <w:pPr>
                    <w:jc w:val="center"/>
                    <w:rPr>
                      <w:rFonts w:ascii="Cambria" w:hAnsi="Cambria"/>
                      <w:color w:val="000000"/>
                      <w:sz w:val="18"/>
                      <w:szCs w:val="18"/>
                    </w:rPr>
                  </w:pPr>
                  <w:r w:rsidRPr="00B377DC">
                    <w:rPr>
                      <w:rFonts w:ascii="Cambria" w:hAnsi="Cambria"/>
                      <w:color w:val="000000"/>
                      <w:sz w:val="18"/>
                      <w:szCs w:val="18"/>
                    </w:rPr>
                    <w:t>2.398,86 -2.416,14 TL arası</w:t>
                  </w:r>
                </w:p>
              </w:tc>
              <w:tc>
                <w:tcPr>
                  <w:tcW w:w="968" w:type="dxa"/>
                  <w:tcBorders>
                    <w:top w:val="single" w:sz="8" w:space="0" w:color="000000"/>
                    <w:left w:val="nil"/>
                    <w:bottom w:val="single" w:sz="8" w:space="0" w:color="000000"/>
                    <w:right w:val="single" w:sz="8" w:space="0" w:color="000000"/>
                  </w:tcBorders>
                  <w:shd w:val="clear" w:color="auto" w:fill="auto"/>
                  <w:vAlign w:val="center"/>
                </w:tcPr>
                <w:p w:rsidR="00AD1EF0" w:rsidRPr="00B377DC" w:rsidRDefault="00AD1EF0" w:rsidP="00AD1EF0">
                  <w:pPr>
                    <w:jc w:val="center"/>
                    <w:rPr>
                      <w:rFonts w:ascii="Cambria" w:hAnsi="Cambria"/>
                      <w:color w:val="000000"/>
                      <w:sz w:val="18"/>
                      <w:szCs w:val="18"/>
                    </w:rPr>
                  </w:pPr>
                  <w:r w:rsidRPr="00B377DC">
                    <w:rPr>
                      <w:rFonts w:ascii="Cambria" w:hAnsi="Cambria"/>
                      <w:color w:val="000000"/>
                      <w:sz w:val="18"/>
                      <w:szCs w:val="18"/>
                    </w:rPr>
                    <w:t>2.187,53-2.398,85 TL arası</w:t>
                  </w:r>
                </w:p>
              </w:tc>
              <w:tc>
                <w:tcPr>
                  <w:tcW w:w="980" w:type="dxa"/>
                  <w:tcBorders>
                    <w:top w:val="single" w:sz="8" w:space="0" w:color="000000"/>
                    <w:left w:val="nil"/>
                    <w:bottom w:val="single" w:sz="8" w:space="0" w:color="000000"/>
                    <w:right w:val="single" w:sz="8" w:space="0" w:color="000000"/>
                  </w:tcBorders>
                  <w:shd w:val="clear" w:color="auto" w:fill="auto"/>
                  <w:vAlign w:val="center"/>
                </w:tcPr>
                <w:p w:rsidR="00AD1EF0" w:rsidRPr="00B377DC" w:rsidRDefault="00AD1EF0" w:rsidP="00AD1EF0">
                  <w:pPr>
                    <w:jc w:val="center"/>
                    <w:rPr>
                      <w:rFonts w:ascii="Cambria" w:hAnsi="Cambria"/>
                      <w:color w:val="000000"/>
                      <w:sz w:val="18"/>
                      <w:szCs w:val="18"/>
                    </w:rPr>
                  </w:pPr>
                  <w:r w:rsidRPr="00B377DC">
                    <w:rPr>
                      <w:rFonts w:ascii="Cambria" w:hAnsi="Cambria"/>
                      <w:color w:val="000000"/>
                      <w:sz w:val="18"/>
                      <w:szCs w:val="18"/>
                    </w:rPr>
                    <w:t>1.918,57-2.187,52 TL arası</w:t>
                  </w:r>
                </w:p>
              </w:tc>
              <w:tc>
                <w:tcPr>
                  <w:tcW w:w="980" w:type="dxa"/>
                  <w:tcBorders>
                    <w:top w:val="single" w:sz="8" w:space="0" w:color="000000"/>
                    <w:left w:val="nil"/>
                    <w:bottom w:val="single" w:sz="8" w:space="0" w:color="000000"/>
                    <w:right w:val="single" w:sz="8" w:space="0" w:color="000000"/>
                  </w:tcBorders>
                  <w:shd w:val="clear" w:color="auto" w:fill="auto"/>
                  <w:vAlign w:val="center"/>
                </w:tcPr>
                <w:p w:rsidR="00AD1EF0" w:rsidRPr="00B377DC" w:rsidRDefault="00AD1EF0" w:rsidP="00AD1EF0">
                  <w:pPr>
                    <w:jc w:val="center"/>
                    <w:rPr>
                      <w:rFonts w:ascii="Cambria" w:hAnsi="Cambria"/>
                      <w:color w:val="000000"/>
                      <w:sz w:val="18"/>
                      <w:szCs w:val="18"/>
                    </w:rPr>
                  </w:pPr>
                  <w:r w:rsidRPr="00B377DC">
                    <w:rPr>
                      <w:rFonts w:ascii="Cambria" w:hAnsi="Cambria"/>
                      <w:color w:val="000000"/>
                      <w:sz w:val="18"/>
                      <w:szCs w:val="18"/>
                    </w:rPr>
                    <w:t>1.591,49-1.918,56 TL arası</w:t>
                  </w:r>
                </w:p>
              </w:tc>
              <w:tc>
                <w:tcPr>
                  <w:tcW w:w="1237" w:type="dxa"/>
                  <w:tcBorders>
                    <w:top w:val="single" w:sz="8" w:space="0" w:color="000000"/>
                    <w:left w:val="nil"/>
                    <w:bottom w:val="single" w:sz="8" w:space="0" w:color="000000"/>
                    <w:right w:val="single" w:sz="8" w:space="0" w:color="000000"/>
                  </w:tcBorders>
                  <w:shd w:val="clear" w:color="auto" w:fill="auto"/>
                  <w:vAlign w:val="center"/>
                </w:tcPr>
                <w:p w:rsidR="00AD1EF0" w:rsidRPr="00B377DC" w:rsidRDefault="00AD1EF0" w:rsidP="00AD1EF0">
                  <w:pPr>
                    <w:rPr>
                      <w:rFonts w:ascii="Cambria" w:hAnsi="Cambria"/>
                      <w:color w:val="000000"/>
                      <w:sz w:val="18"/>
                      <w:szCs w:val="18"/>
                    </w:rPr>
                  </w:pPr>
                  <w:r w:rsidRPr="00B377DC">
                    <w:rPr>
                      <w:rFonts w:ascii="Cambria" w:hAnsi="Cambria"/>
                      <w:color w:val="000000"/>
                      <w:sz w:val="18"/>
                      <w:szCs w:val="18"/>
                    </w:rPr>
                    <w:t>1.591,48 TL ve daha azı</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A.B.D.(A.B.D. Doları)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28"/>
                  </w:pPr>
                  <w:r>
                    <w:rPr>
                      <w:color w:val="000000"/>
                      <w:sz w:val="18"/>
                      <w:szCs w:val="18"/>
                    </w:rPr>
                    <w:t>182</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146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87"/>
                  </w:pPr>
                  <w:r>
                    <w:rPr>
                      <w:color w:val="000000"/>
                      <w:sz w:val="18"/>
                      <w:szCs w:val="18"/>
                    </w:rPr>
                    <w:t>124</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2"/>
                  </w:pPr>
                  <w:r>
                    <w:rPr>
                      <w:color w:val="000000"/>
                      <w:sz w:val="18"/>
                      <w:szCs w:val="18"/>
                    </w:rPr>
                    <w:t>117</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15"/>
                  </w:pPr>
                  <w:r>
                    <w:rPr>
                      <w:color w:val="000000"/>
                      <w:sz w:val="18"/>
                      <w:szCs w:val="18"/>
                    </w:rPr>
                    <w:t>110</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9"/>
                  </w:pPr>
                  <w:r>
                    <w:rPr>
                      <w:color w:val="000000"/>
                      <w:sz w:val="18"/>
                      <w:szCs w:val="18"/>
                    </w:rPr>
                    <w:t>93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Almanya</w:t>
                  </w:r>
                  <w:r>
                    <w:rPr>
                      <w:rFonts w:ascii="Cambria" w:hAnsi="Cambria"/>
                      <w:bCs/>
                      <w:sz w:val="16"/>
                      <w:szCs w:val="16"/>
                    </w:rPr>
                    <w:t xml:space="preserve">  </w:t>
                  </w:r>
                  <w:r w:rsidRPr="00304F1C">
                    <w:rPr>
                      <w:rFonts w:ascii="Cambria" w:hAnsi="Cambria"/>
                      <w:bCs/>
                      <w:sz w:val="16"/>
                      <w:szCs w:val="16"/>
                    </w:rPr>
                    <w:t xml:space="preserve">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28"/>
                  </w:pPr>
                  <w:r>
                    <w:rPr>
                      <w:color w:val="000000"/>
                      <w:sz w:val="18"/>
                      <w:szCs w:val="18"/>
                    </w:rPr>
                    <w:t>164</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131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82"/>
                  </w:pPr>
                  <w:r>
                    <w:rPr>
                      <w:color w:val="000000"/>
                      <w:sz w:val="18"/>
                      <w:szCs w:val="18"/>
                    </w:rPr>
                    <w:t>111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2"/>
                  </w:pPr>
                  <w:r>
                    <w:rPr>
                      <w:color w:val="000000"/>
                      <w:sz w:val="18"/>
                      <w:szCs w:val="18"/>
                    </w:rPr>
                    <w:t>105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9"/>
                  </w:pPr>
                  <w:r>
                    <w:rPr>
                      <w:color w:val="000000"/>
                      <w:sz w:val="18"/>
                      <w:szCs w:val="18"/>
                    </w:rPr>
                    <w:t>99</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9"/>
                  </w:pPr>
                  <w:r>
                    <w:rPr>
                      <w:color w:val="000000"/>
                      <w:sz w:val="18"/>
                      <w:szCs w:val="18"/>
                    </w:rPr>
                    <w:t>83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Avustralya</w:t>
                  </w:r>
                  <w:r>
                    <w:rPr>
                      <w:rFonts w:ascii="Cambria" w:hAnsi="Cambria"/>
                      <w:bCs/>
                      <w:sz w:val="16"/>
                      <w:szCs w:val="16"/>
                    </w:rPr>
                    <w:t xml:space="preserve"> </w:t>
                  </w:r>
                  <w:r w:rsidRPr="00304F1C">
                    <w:rPr>
                      <w:rFonts w:ascii="Cambria" w:hAnsi="Cambria"/>
                      <w:bCs/>
                      <w:sz w:val="16"/>
                      <w:szCs w:val="16"/>
                    </w:rPr>
                    <w:t xml:space="preserve"> (Avustralya Doları)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23"/>
                  </w:pPr>
                  <w:r>
                    <w:rPr>
                      <w:color w:val="000000"/>
                      <w:sz w:val="18"/>
                      <w:szCs w:val="18"/>
                    </w:rPr>
                    <w:t>283</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227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2"/>
                  </w:pPr>
                  <w:r>
                    <w:rPr>
                      <w:color w:val="000000"/>
                      <w:sz w:val="18"/>
                      <w:szCs w:val="18"/>
                    </w:rPr>
                    <w:t>192</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7"/>
                  </w:pPr>
                  <w:r>
                    <w:rPr>
                      <w:color w:val="000000"/>
                      <w:sz w:val="18"/>
                      <w:szCs w:val="18"/>
                    </w:rPr>
                    <w:t>181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20"/>
                  </w:pPr>
                  <w:r>
                    <w:rPr>
                      <w:color w:val="000000"/>
                      <w:sz w:val="18"/>
                      <w:szCs w:val="18"/>
                    </w:rPr>
                    <w:t>171</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15"/>
                  </w:pPr>
                  <w:r>
                    <w:rPr>
                      <w:color w:val="000000"/>
                      <w:sz w:val="18"/>
                      <w:szCs w:val="18"/>
                    </w:rPr>
                    <w:t>143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Avusturya</w:t>
                  </w:r>
                  <w:r>
                    <w:rPr>
                      <w:rFonts w:ascii="Cambria" w:hAnsi="Cambria"/>
                      <w:bCs/>
                      <w:sz w:val="16"/>
                      <w:szCs w:val="16"/>
                    </w:rPr>
                    <w:t xml:space="preserve">  </w:t>
                  </w:r>
                  <w:r w:rsidRPr="00304F1C">
                    <w:rPr>
                      <w:rFonts w:ascii="Cambria" w:hAnsi="Cambria"/>
                      <w:bCs/>
                      <w:sz w:val="16"/>
                      <w:szCs w:val="16"/>
                    </w:rPr>
                    <w:t>(Euro)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3"/>
                  </w:pPr>
                  <w:r>
                    <w:rPr>
                      <w:color w:val="000000"/>
                      <w:sz w:val="18"/>
                      <w:szCs w:val="18"/>
                    </w:rPr>
                    <w:t>166</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132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2"/>
                  </w:pPr>
                  <w:r>
                    <w:rPr>
                      <w:color w:val="000000"/>
                      <w:sz w:val="18"/>
                      <w:szCs w:val="18"/>
                    </w:rPr>
                    <w:t>112</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7"/>
                  </w:pPr>
                  <w:r>
                    <w:rPr>
                      <w:color w:val="000000"/>
                      <w:sz w:val="18"/>
                      <w:szCs w:val="18"/>
                    </w:rPr>
                    <w:t>106</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20"/>
                  </w:pPr>
                  <w:r>
                    <w:rPr>
                      <w:color w:val="000000"/>
                      <w:sz w:val="18"/>
                      <w:szCs w:val="18"/>
                    </w:rPr>
                    <w:t>100</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9"/>
                  </w:pPr>
                  <w:r>
                    <w:rPr>
                      <w:color w:val="000000"/>
                      <w:sz w:val="18"/>
                      <w:szCs w:val="18"/>
                    </w:rPr>
                    <w:t>84</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Belçika(Euro)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28"/>
                  </w:pPr>
                  <w:r>
                    <w:rPr>
                      <w:color w:val="000000"/>
                      <w:sz w:val="18"/>
                      <w:szCs w:val="18"/>
                    </w:rPr>
                    <w:t>161</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128</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2"/>
                  </w:pPr>
                  <w:r>
                    <w:rPr>
                      <w:color w:val="000000"/>
                      <w:sz w:val="18"/>
                      <w:szCs w:val="18"/>
                    </w:rPr>
                    <w:t>109</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2"/>
                  </w:pPr>
                  <w:r>
                    <w:rPr>
                      <w:color w:val="000000"/>
                      <w:sz w:val="18"/>
                      <w:szCs w:val="18"/>
                    </w:rPr>
                    <w:t>103</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4"/>
                  </w:pPr>
                  <w:r>
                    <w:rPr>
                      <w:color w:val="000000"/>
                      <w:sz w:val="18"/>
                      <w:szCs w:val="18"/>
                    </w:rPr>
                    <w:t>97</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9"/>
                  </w:pPr>
                  <w:r>
                    <w:rPr>
                      <w:color w:val="000000"/>
                      <w:sz w:val="18"/>
                      <w:szCs w:val="18"/>
                    </w:rPr>
                    <w:t>81</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Danimarka (Danimarka Kronu)</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475"/>
                  </w:pPr>
                  <w:r>
                    <w:rPr>
                      <w:color w:val="000000"/>
                      <w:spacing w:val="-7"/>
                      <w:sz w:val="16"/>
                      <w:szCs w:val="16"/>
                    </w:rPr>
                    <w:t>1.238</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988</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2"/>
                  </w:pPr>
                  <w:r>
                    <w:rPr>
                      <w:color w:val="000000"/>
                      <w:sz w:val="18"/>
                      <w:szCs w:val="18"/>
                    </w:rPr>
                    <w:t>838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2"/>
                  </w:pPr>
                  <w:r>
                    <w:rPr>
                      <w:color w:val="000000"/>
                      <w:sz w:val="18"/>
                      <w:szCs w:val="18"/>
                    </w:rPr>
                    <w:t>791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25"/>
                  </w:pPr>
                  <w:r>
                    <w:rPr>
                      <w:color w:val="000000"/>
                      <w:sz w:val="18"/>
                      <w:szCs w:val="18"/>
                    </w:rPr>
                    <w:t>746</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20"/>
                  </w:pPr>
                  <w:r>
                    <w:rPr>
                      <w:color w:val="000000"/>
                      <w:sz w:val="18"/>
                      <w:szCs w:val="18"/>
                    </w:rPr>
                    <w:t>627</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Finlandiya</w:t>
                  </w:r>
                  <w:r>
                    <w:rPr>
                      <w:rFonts w:ascii="Cambria" w:hAnsi="Cambria"/>
                      <w:bCs/>
                      <w:sz w:val="16"/>
                      <w:szCs w:val="16"/>
                    </w:rPr>
                    <w:t xml:space="preserve"> </w:t>
                  </w:r>
                  <w:r w:rsidRPr="00304F1C">
                    <w:rPr>
                      <w:rFonts w:ascii="Cambria" w:hAnsi="Cambria"/>
                      <w:bCs/>
                      <w:sz w:val="16"/>
                      <w:szCs w:val="16"/>
                    </w:rPr>
                    <w:t>(Euro)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8"/>
                  </w:pPr>
                  <w:r>
                    <w:rPr>
                      <w:color w:val="000000"/>
                      <w:sz w:val="18"/>
                      <w:szCs w:val="18"/>
                    </w:rPr>
                    <w:t>148</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119</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7"/>
                  </w:pPr>
                  <w:r>
                    <w:rPr>
                      <w:color w:val="000000"/>
                      <w:sz w:val="18"/>
                      <w:szCs w:val="18"/>
                    </w:rPr>
                    <w:t>100</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21"/>
                  </w:pPr>
                  <w:r>
                    <w:rPr>
                      <w:color w:val="000000"/>
                      <w:sz w:val="18"/>
                      <w:szCs w:val="18"/>
                    </w:rPr>
                    <w:t>95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3"/>
                  </w:pPr>
                  <w:r>
                    <w:rPr>
                      <w:color w:val="000000"/>
                      <w:sz w:val="18"/>
                      <w:szCs w:val="18"/>
                    </w:rPr>
                    <w:t>90</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4"/>
                  </w:pPr>
                  <w:r>
                    <w:rPr>
                      <w:color w:val="000000"/>
                      <w:sz w:val="18"/>
                      <w:szCs w:val="18"/>
                    </w:rPr>
                    <w:t>74</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Fransa</w:t>
                  </w:r>
                  <w:r>
                    <w:rPr>
                      <w:rFonts w:ascii="Cambria" w:hAnsi="Cambria"/>
                      <w:bCs/>
                      <w:sz w:val="16"/>
                      <w:szCs w:val="16"/>
                    </w:rPr>
                    <w:t xml:space="preserve"> </w:t>
                  </w:r>
                  <w:r w:rsidRPr="00304F1C">
                    <w:rPr>
                      <w:rFonts w:ascii="Cambria" w:hAnsi="Cambria"/>
                      <w:bCs/>
                      <w:sz w:val="16"/>
                      <w:szCs w:val="16"/>
                    </w:rPr>
                    <w:t>(Euro)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42"/>
                  </w:pPr>
                  <w:r>
                    <w:rPr>
                      <w:color w:val="000000"/>
                      <w:sz w:val="18"/>
                      <w:szCs w:val="18"/>
                    </w:rPr>
                    <w:t>160</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02"/>
                  </w:pPr>
                  <w:r>
                    <w:rPr>
                      <w:color w:val="000000"/>
                      <w:sz w:val="18"/>
                      <w:szCs w:val="18"/>
                    </w:rPr>
                    <w:t>108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02"/>
                  </w:pPr>
                  <w:r>
                    <w:rPr>
                      <w:color w:val="000000"/>
                      <w:sz w:val="18"/>
                      <w:szCs w:val="18"/>
                    </w:rPr>
                    <w:t>102</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8"/>
                  </w:pPr>
                  <w:r>
                    <w:rPr>
                      <w:color w:val="000000"/>
                      <w:sz w:val="18"/>
                      <w:szCs w:val="18"/>
                    </w:rPr>
                    <w:t>96</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4"/>
                  </w:pPr>
                  <w:r>
                    <w:rPr>
                      <w:color w:val="000000"/>
                      <w:sz w:val="18"/>
                      <w:szCs w:val="18"/>
                    </w:rPr>
                    <w:t>81</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Hollanda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8"/>
                  </w:pPr>
                  <w:r>
                    <w:rPr>
                      <w:color w:val="000000"/>
                      <w:sz w:val="18"/>
                      <w:szCs w:val="18"/>
                    </w:rPr>
                    <w:t>156</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02"/>
                  </w:pPr>
                  <w:r>
                    <w:rPr>
                      <w:color w:val="000000"/>
                      <w:sz w:val="18"/>
                      <w:szCs w:val="18"/>
                    </w:rPr>
                    <w:t>106</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02"/>
                  </w:pPr>
                  <w:r>
                    <w:rPr>
                      <w:color w:val="000000"/>
                      <w:sz w:val="18"/>
                      <w:szCs w:val="18"/>
                    </w:rPr>
                    <w:t>100</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3"/>
                  </w:pPr>
                  <w:r>
                    <w:rPr>
                      <w:color w:val="000000"/>
                      <w:sz w:val="18"/>
                      <w:szCs w:val="18"/>
                    </w:rPr>
                    <w:t>94</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8"/>
                  </w:pPr>
                  <w:r>
                    <w:rPr>
                      <w:color w:val="000000"/>
                      <w:sz w:val="18"/>
                      <w:szCs w:val="18"/>
                    </w:rPr>
                    <w:t>80</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İngiltere(Sterlin)</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8"/>
                  </w:pPr>
                  <w:r>
                    <w:rPr>
                      <w:color w:val="000000"/>
                      <w:sz w:val="18"/>
                      <w:szCs w:val="18"/>
                    </w:rPr>
                    <w:t>115</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91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30"/>
                  </w:pPr>
                  <w:r>
                    <w:rPr>
                      <w:color w:val="000000"/>
                      <w:sz w:val="18"/>
                      <w:szCs w:val="18"/>
                    </w:rPr>
                    <w:t>78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26"/>
                  </w:pPr>
                  <w:r>
                    <w:rPr>
                      <w:color w:val="000000"/>
                      <w:sz w:val="18"/>
                      <w:szCs w:val="18"/>
                    </w:rPr>
                    <w:t>74</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3"/>
                  </w:pPr>
                  <w:r>
                    <w:rPr>
                      <w:color w:val="000000"/>
                      <w:sz w:val="18"/>
                      <w:szCs w:val="18"/>
                    </w:rPr>
                    <w:t>69</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8"/>
                  </w:pPr>
                  <w:r>
                    <w:rPr>
                      <w:color w:val="000000"/>
                      <w:sz w:val="18"/>
                      <w:szCs w:val="18"/>
                    </w:rPr>
                    <w:t>59</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İrlanda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47"/>
                  </w:pPr>
                  <w:r>
                    <w:rPr>
                      <w:color w:val="000000"/>
                      <w:sz w:val="18"/>
                      <w:szCs w:val="18"/>
                    </w:rPr>
                    <w:t>155</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124</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06"/>
                  </w:pPr>
                  <w:r>
                    <w:rPr>
                      <w:color w:val="000000"/>
                      <w:sz w:val="18"/>
                      <w:szCs w:val="18"/>
                    </w:rPr>
                    <w:t>105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30"/>
                  </w:pPr>
                  <w:r>
                    <w:rPr>
                      <w:color w:val="000000"/>
                      <w:sz w:val="18"/>
                      <w:szCs w:val="18"/>
                    </w:rPr>
                    <w:t>99</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3"/>
                  </w:pPr>
                  <w:r>
                    <w:rPr>
                      <w:color w:val="000000"/>
                      <w:sz w:val="18"/>
                      <w:szCs w:val="18"/>
                    </w:rPr>
                    <w:t>94</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3"/>
                  </w:pPr>
                  <w:r>
                    <w:rPr>
                      <w:color w:val="000000"/>
                      <w:sz w:val="18"/>
                      <w:szCs w:val="18"/>
                    </w:rPr>
                    <w:t>78</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İspanya</w:t>
                  </w:r>
                  <w:r>
                    <w:rPr>
                      <w:rFonts w:ascii="Cambria" w:hAnsi="Cambria"/>
                      <w:bCs/>
                      <w:sz w:val="16"/>
                      <w:szCs w:val="16"/>
                    </w:rPr>
                    <w:t xml:space="preserve"> </w:t>
                  </w:r>
                  <w:r w:rsidRPr="00304F1C">
                    <w:rPr>
                      <w:rFonts w:ascii="Cambria" w:hAnsi="Cambria"/>
                      <w:bCs/>
                      <w:sz w:val="16"/>
                      <w:szCs w:val="16"/>
                    </w:rPr>
                    <w:t xml:space="preserve">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47"/>
                  </w:pPr>
                  <w:r>
                    <w:rPr>
                      <w:color w:val="000000"/>
                      <w:sz w:val="18"/>
                      <w:szCs w:val="18"/>
                    </w:rPr>
                    <w:t>158</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06"/>
                  </w:pPr>
                  <w:r>
                    <w:rPr>
                      <w:color w:val="000000"/>
                      <w:sz w:val="18"/>
                      <w:szCs w:val="18"/>
                    </w:rPr>
                    <w:t>107</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06"/>
                  </w:pPr>
                  <w:r>
                    <w:rPr>
                      <w:color w:val="000000"/>
                      <w:sz w:val="18"/>
                      <w:szCs w:val="18"/>
                    </w:rPr>
                    <w:t>101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3"/>
                  </w:pPr>
                  <w:r>
                    <w:rPr>
                      <w:color w:val="000000"/>
                      <w:sz w:val="18"/>
                      <w:szCs w:val="18"/>
                    </w:rPr>
                    <w:t>95</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3"/>
                  </w:pPr>
                  <w:r>
                    <w:rPr>
                      <w:color w:val="000000"/>
                      <w:sz w:val="18"/>
                      <w:szCs w:val="18"/>
                    </w:rPr>
                    <w:t>80</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İsveç(İsveç Kronu)</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485"/>
                  </w:pPr>
                  <w:r>
                    <w:rPr>
                      <w:color w:val="000000"/>
                      <w:spacing w:val="-8"/>
                      <w:sz w:val="16"/>
                      <w:szCs w:val="16"/>
                    </w:rPr>
                    <w:t>1.359</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pacing w:val="-7"/>
                      <w:sz w:val="16"/>
                      <w:szCs w:val="16"/>
                    </w:rPr>
                    <w:t>1.085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97"/>
                  </w:pPr>
                  <w:r>
                    <w:rPr>
                      <w:color w:val="000000"/>
                      <w:sz w:val="18"/>
                      <w:szCs w:val="18"/>
                    </w:rPr>
                    <w:t>919</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7"/>
                  </w:pPr>
                  <w:r>
                    <w:rPr>
                      <w:color w:val="000000"/>
                      <w:sz w:val="18"/>
                      <w:szCs w:val="18"/>
                    </w:rPr>
                    <w:t>867</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0"/>
                  </w:pPr>
                  <w:r>
                    <w:rPr>
                      <w:color w:val="000000"/>
                      <w:sz w:val="18"/>
                      <w:szCs w:val="18"/>
                    </w:rPr>
                    <w:t>819</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20"/>
                  </w:pPr>
                  <w:r>
                    <w:rPr>
                      <w:color w:val="000000"/>
                      <w:sz w:val="18"/>
                      <w:szCs w:val="18"/>
                    </w:rPr>
                    <w:t>687</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İsviçre (İsviçre Frangı)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8"/>
                  </w:pPr>
                  <w:r>
                    <w:rPr>
                      <w:color w:val="000000"/>
                      <w:sz w:val="18"/>
                      <w:szCs w:val="18"/>
                    </w:rPr>
                    <w:t>283</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226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11"/>
                  </w:pPr>
                  <w:r>
                    <w:rPr>
                      <w:color w:val="000000"/>
                      <w:sz w:val="18"/>
                      <w:szCs w:val="18"/>
                    </w:rPr>
                    <w:t>192</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11"/>
                  </w:pPr>
                  <w:r>
                    <w:rPr>
                      <w:color w:val="000000"/>
                      <w:sz w:val="18"/>
                      <w:szCs w:val="18"/>
                    </w:rPr>
                    <w:t>181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4"/>
                  </w:pPr>
                  <w:r>
                    <w:rPr>
                      <w:color w:val="000000"/>
                      <w:sz w:val="18"/>
                      <w:szCs w:val="18"/>
                    </w:rPr>
                    <w:t>171</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9"/>
                  </w:pPr>
                  <w:r>
                    <w:rPr>
                      <w:color w:val="000000"/>
                      <w:sz w:val="18"/>
                      <w:szCs w:val="18"/>
                    </w:rPr>
                    <w:t>143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lastRenderedPageBreak/>
                    <w:t>İtalya</w:t>
                  </w:r>
                  <w:r>
                    <w:rPr>
                      <w:rFonts w:ascii="Cambria" w:hAnsi="Cambria"/>
                      <w:bCs/>
                      <w:sz w:val="16"/>
                      <w:szCs w:val="16"/>
                    </w:rPr>
                    <w:t xml:space="preserve"> </w:t>
                  </w:r>
                  <w:r w:rsidRPr="00304F1C">
                    <w:rPr>
                      <w:rFonts w:ascii="Cambria" w:hAnsi="Cambria"/>
                      <w:bCs/>
                      <w:sz w:val="16"/>
                      <w:szCs w:val="16"/>
                    </w:rPr>
                    <w:t>(Euro)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47"/>
                  </w:pPr>
                  <w:r>
                    <w:rPr>
                      <w:color w:val="000000"/>
                      <w:sz w:val="18"/>
                      <w:szCs w:val="18"/>
                    </w:rPr>
                    <w:t>152</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11"/>
                  </w:pPr>
                  <w:r>
                    <w:rPr>
                      <w:color w:val="000000"/>
                      <w:sz w:val="18"/>
                      <w:szCs w:val="18"/>
                    </w:rPr>
                    <w:t>104</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35"/>
                  </w:pPr>
                  <w:r>
                    <w:rPr>
                      <w:color w:val="000000"/>
                      <w:sz w:val="18"/>
                      <w:szCs w:val="18"/>
                    </w:rPr>
                    <w:t>98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3"/>
                  </w:pPr>
                  <w:r>
                    <w:rPr>
                      <w:color w:val="000000"/>
                      <w:sz w:val="18"/>
                      <w:szCs w:val="18"/>
                    </w:rPr>
                    <w:t>92</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68"/>
                  </w:pPr>
                  <w:r>
                    <w:rPr>
                      <w:color w:val="000000"/>
                      <w:sz w:val="18"/>
                      <w:szCs w:val="18"/>
                    </w:rPr>
                    <w:t>77</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Japonya</w:t>
                  </w:r>
                  <w:r>
                    <w:rPr>
                      <w:rFonts w:ascii="Cambria" w:hAnsi="Cambria"/>
                      <w:bCs/>
                      <w:sz w:val="16"/>
                      <w:szCs w:val="16"/>
                    </w:rPr>
                    <w:t xml:space="preserve">  </w:t>
                  </w:r>
                  <w:r w:rsidRPr="00304F1C">
                    <w:rPr>
                      <w:rFonts w:ascii="Cambria" w:hAnsi="Cambria"/>
                      <w:bCs/>
                      <w:sz w:val="16"/>
                      <w:szCs w:val="16"/>
                    </w:rPr>
                    <w:t xml:space="preserve"> (Japon Yeni)</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right"/>
                  </w:pPr>
                  <w:r>
                    <w:rPr>
                      <w:color w:val="000000"/>
                      <w:spacing w:val="-5"/>
                      <w:sz w:val="16"/>
                      <w:szCs w:val="16"/>
                    </w:rPr>
                    <w:t>31.405</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pacing w:val="-4"/>
                      <w:sz w:val="16"/>
                      <w:szCs w:val="16"/>
                    </w:rPr>
                    <w:t>25.127</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106"/>
                  </w:pPr>
                  <w:r>
                    <w:rPr>
                      <w:color w:val="000000"/>
                      <w:spacing w:val="2"/>
                      <w:sz w:val="16"/>
                      <w:szCs w:val="16"/>
                    </w:rPr>
                    <w:t>21325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01"/>
                  </w:pPr>
                  <w:r>
                    <w:rPr>
                      <w:color w:val="000000"/>
                      <w:spacing w:val="-5"/>
                      <w:sz w:val="16"/>
                      <w:szCs w:val="16"/>
                    </w:rPr>
                    <w:t>20.118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3"/>
                  </w:pPr>
                  <w:r>
                    <w:rPr>
                      <w:color w:val="000000"/>
                      <w:spacing w:val="-8"/>
                      <w:sz w:val="16"/>
                      <w:szCs w:val="16"/>
                    </w:rPr>
                    <w:t>18.901</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43"/>
                  </w:pPr>
                  <w:r>
                    <w:rPr>
                      <w:color w:val="000000"/>
                      <w:spacing w:val="-7"/>
                      <w:sz w:val="16"/>
                      <w:szCs w:val="16"/>
                    </w:rPr>
                    <w:t>15.914</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Kanada</w:t>
                  </w:r>
                  <w:r>
                    <w:rPr>
                      <w:rFonts w:ascii="Cambria" w:hAnsi="Cambria"/>
                      <w:bCs/>
                      <w:sz w:val="16"/>
                      <w:szCs w:val="16"/>
                    </w:rPr>
                    <w:t xml:space="preserve">  </w:t>
                  </w:r>
                  <w:r w:rsidRPr="00304F1C">
                    <w:rPr>
                      <w:rFonts w:ascii="Cambria" w:hAnsi="Cambria"/>
                      <w:bCs/>
                      <w:sz w:val="16"/>
                      <w:szCs w:val="16"/>
                    </w:rPr>
                    <w:t xml:space="preserve"> (Kanada Doları)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52"/>
                  </w:pPr>
                  <w:r>
                    <w:rPr>
                      <w:color w:val="000000"/>
                      <w:sz w:val="18"/>
                      <w:szCs w:val="18"/>
                    </w:rPr>
                    <w:t>244</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195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16"/>
                  </w:pPr>
                  <w:r>
                    <w:rPr>
                      <w:color w:val="000000"/>
                      <w:sz w:val="18"/>
                      <w:szCs w:val="18"/>
                    </w:rPr>
                    <w:t>165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21"/>
                  </w:pPr>
                  <w:r>
                    <w:rPr>
                      <w:color w:val="000000"/>
                      <w:sz w:val="18"/>
                      <w:szCs w:val="18"/>
                    </w:rPr>
                    <w:t>156</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54"/>
                  </w:pPr>
                  <w:r>
                    <w:rPr>
                      <w:color w:val="000000"/>
                      <w:sz w:val="18"/>
                      <w:szCs w:val="18"/>
                    </w:rPr>
                    <w:t>147</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4"/>
                  </w:pPr>
                  <w:r>
                    <w:rPr>
                      <w:color w:val="000000"/>
                      <w:sz w:val="18"/>
                      <w:szCs w:val="18"/>
                    </w:rPr>
                    <w:t>125</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Kuveyt(Kuveyt Dinarı)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86"/>
                  </w:pPr>
                  <w:r>
                    <w:rPr>
                      <w:color w:val="000000"/>
                      <w:sz w:val="18"/>
                      <w:szCs w:val="18"/>
                    </w:rPr>
                    <w:t>50</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40</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45"/>
                  </w:pPr>
                  <w:r>
                    <w:rPr>
                      <w:color w:val="000000"/>
                      <w:sz w:val="18"/>
                      <w:szCs w:val="18"/>
                    </w:rPr>
                    <w:t>35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40"/>
                  </w:pPr>
                  <w:r>
                    <w:rPr>
                      <w:color w:val="000000"/>
                      <w:sz w:val="18"/>
                      <w:szCs w:val="18"/>
                    </w:rPr>
                    <w:t>33</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2"/>
                  </w:pPr>
                  <w:r>
                    <w:rPr>
                      <w:color w:val="000000"/>
                      <w:sz w:val="18"/>
                      <w:szCs w:val="18"/>
                    </w:rPr>
                    <w:t>31</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3"/>
                  </w:pPr>
                  <w:r>
                    <w:rPr>
                      <w:color w:val="000000"/>
                      <w:sz w:val="18"/>
                      <w:szCs w:val="18"/>
                    </w:rPr>
                    <w:t>25</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Lüksemburg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57"/>
                  </w:pPr>
                  <w:r>
                    <w:rPr>
                      <w:color w:val="000000"/>
                      <w:sz w:val="18"/>
                      <w:szCs w:val="18"/>
                    </w:rPr>
                    <w:t>161</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128</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21"/>
                  </w:pPr>
                  <w:r>
                    <w:rPr>
                      <w:color w:val="000000"/>
                      <w:sz w:val="18"/>
                      <w:szCs w:val="18"/>
                    </w:rPr>
                    <w:t>109</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11"/>
                  </w:pPr>
                  <w:r>
                    <w:rPr>
                      <w:color w:val="000000"/>
                      <w:sz w:val="18"/>
                      <w:szCs w:val="18"/>
                    </w:rPr>
                    <w:t>103</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2"/>
                  </w:pPr>
                  <w:r>
                    <w:rPr>
                      <w:color w:val="000000"/>
                      <w:sz w:val="18"/>
                      <w:szCs w:val="18"/>
                    </w:rPr>
                    <w:t>97</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3"/>
                  </w:pPr>
                  <w:r>
                    <w:rPr>
                      <w:color w:val="000000"/>
                      <w:sz w:val="18"/>
                      <w:szCs w:val="18"/>
                    </w:rPr>
                    <w:t>82</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Norveç</w:t>
                  </w:r>
                  <w:r>
                    <w:rPr>
                      <w:rFonts w:ascii="Cambria" w:hAnsi="Cambria"/>
                      <w:bCs/>
                      <w:sz w:val="16"/>
                      <w:szCs w:val="16"/>
                    </w:rPr>
                    <w:t xml:space="preserve"> </w:t>
                  </w:r>
                  <w:r w:rsidRPr="00304F1C">
                    <w:rPr>
                      <w:rFonts w:ascii="Cambria" w:hAnsi="Cambria"/>
                      <w:bCs/>
                      <w:sz w:val="16"/>
                      <w:szCs w:val="16"/>
                    </w:rPr>
                    <w:t xml:space="preserve"> (Norveç Kronu)</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499"/>
                  </w:pPr>
                  <w:r>
                    <w:rPr>
                      <w:color w:val="000000"/>
                      <w:spacing w:val="-7"/>
                      <w:sz w:val="16"/>
                      <w:szCs w:val="16"/>
                    </w:rPr>
                    <w:t>1.193</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952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16"/>
                  </w:pPr>
                  <w:r>
                    <w:rPr>
                      <w:color w:val="000000"/>
                      <w:sz w:val="18"/>
                      <w:szCs w:val="18"/>
                    </w:rPr>
                    <w:t>808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11"/>
                  </w:pPr>
                  <w:r>
                    <w:rPr>
                      <w:color w:val="000000"/>
                      <w:sz w:val="18"/>
                      <w:szCs w:val="18"/>
                    </w:rPr>
                    <w:t>762</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9"/>
                  </w:pPr>
                  <w:r>
                    <w:rPr>
                      <w:color w:val="000000"/>
                      <w:sz w:val="18"/>
                      <w:szCs w:val="18"/>
                    </w:rPr>
                    <w:t>719</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4"/>
                  </w:pPr>
                  <w:r>
                    <w:rPr>
                      <w:color w:val="000000"/>
                      <w:sz w:val="18"/>
                      <w:szCs w:val="18"/>
                    </w:rPr>
                    <w:t>604</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Portekiz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62"/>
                  </w:pPr>
                  <w:r>
                    <w:rPr>
                      <w:color w:val="000000"/>
                      <w:sz w:val="18"/>
                      <w:szCs w:val="18"/>
                    </w:rPr>
                    <w:t>155</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24</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21"/>
                  </w:pPr>
                  <w:r>
                    <w:rPr>
                      <w:color w:val="000000"/>
                      <w:sz w:val="18"/>
                      <w:szCs w:val="18"/>
                    </w:rPr>
                    <w:t>105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45"/>
                  </w:pPr>
                  <w:r>
                    <w:rPr>
                      <w:color w:val="000000"/>
                      <w:sz w:val="18"/>
                      <w:szCs w:val="18"/>
                    </w:rPr>
                    <w:t>99</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2"/>
                  </w:pPr>
                  <w:r>
                    <w:rPr>
                      <w:color w:val="000000"/>
                      <w:sz w:val="18"/>
                      <w:szCs w:val="18"/>
                    </w:rPr>
                    <w:t>93</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78"/>
                  </w:pPr>
                  <w:r>
                    <w:rPr>
                      <w:color w:val="000000"/>
                      <w:sz w:val="18"/>
                      <w:szCs w:val="18"/>
                    </w:rPr>
                    <w:t>78</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Suudi Arabistan(Suudi A. Riyali)</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52"/>
                  </w:pPr>
                  <w:r>
                    <w:rPr>
                      <w:color w:val="000000"/>
                      <w:sz w:val="18"/>
                      <w:szCs w:val="18"/>
                    </w:rPr>
                    <w:t>617</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492</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16"/>
                  </w:pPr>
                  <w:r>
                    <w:rPr>
                      <w:color w:val="000000"/>
                      <w:sz w:val="18"/>
                      <w:szCs w:val="18"/>
                    </w:rPr>
                    <w:t>418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16"/>
                  </w:pPr>
                  <w:r>
                    <w:rPr>
                      <w:color w:val="000000"/>
                      <w:sz w:val="18"/>
                      <w:szCs w:val="18"/>
                    </w:rPr>
                    <w:t>395</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49"/>
                  </w:pPr>
                  <w:r>
                    <w:rPr>
                      <w:color w:val="000000"/>
                      <w:sz w:val="18"/>
                      <w:szCs w:val="18"/>
                    </w:rPr>
                    <w:t>372</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34"/>
                  </w:pPr>
                  <w:r>
                    <w:rPr>
                      <w:color w:val="000000"/>
                      <w:sz w:val="18"/>
                      <w:szCs w:val="18"/>
                    </w:rPr>
                    <w:t>313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Yunanistan</w:t>
                  </w:r>
                  <w:r>
                    <w:rPr>
                      <w:rFonts w:ascii="Cambria" w:hAnsi="Cambria"/>
                      <w:bCs/>
                      <w:sz w:val="16"/>
                      <w:szCs w:val="16"/>
                    </w:rPr>
                    <w:t xml:space="preserve">  </w:t>
                  </w:r>
                  <w:r w:rsidRPr="00304F1C">
                    <w:rPr>
                      <w:rFonts w:ascii="Cambria" w:hAnsi="Cambria"/>
                      <w:bCs/>
                      <w:sz w:val="16"/>
                      <w:szCs w:val="16"/>
                    </w:rPr>
                    <w:t xml:space="preserve">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71"/>
                  </w:pPr>
                  <w:r>
                    <w:rPr>
                      <w:color w:val="000000"/>
                      <w:sz w:val="18"/>
                      <w:szCs w:val="18"/>
                    </w:rPr>
                    <w:t>158</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126</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30"/>
                  </w:pPr>
                  <w:r>
                    <w:rPr>
                      <w:color w:val="000000"/>
                      <w:sz w:val="18"/>
                      <w:szCs w:val="18"/>
                    </w:rPr>
                    <w:t>107</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30"/>
                  </w:pPr>
                  <w:r>
                    <w:rPr>
                      <w:color w:val="000000"/>
                      <w:sz w:val="18"/>
                      <w:szCs w:val="18"/>
                    </w:rPr>
                    <w:t>101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7"/>
                  </w:pPr>
                  <w:r>
                    <w:rPr>
                      <w:color w:val="000000"/>
                      <w:sz w:val="18"/>
                      <w:szCs w:val="18"/>
                    </w:rPr>
                    <w:t>95</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2"/>
                  </w:pPr>
                  <w:r>
                    <w:rPr>
                      <w:color w:val="000000"/>
                      <w:sz w:val="18"/>
                      <w:szCs w:val="18"/>
                    </w:rPr>
                    <w:t>80</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Kosova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tcPr>
                <w:p w:rsidR="00AD1EF0" w:rsidRDefault="00AD1EF0" w:rsidP="00AD1EF0">
                  <w:pPr>
                    <w:shd w:val="clear" w:color="auto" w:fill="FFFFFF"/>
                    <w:ind w:left="571"/>
                  </w:pPr>
                  <w:r>
                    <w:rPr>
                      <w:color w:val="000000"/>
                      <w:sz w:val="18"/>
                      <w:szCs w:val="18"/>
                    </w:rPr>
                    <w:t>123</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tcPr>
                <w:p w:rsidR="00AD1EF0" w:rsidRDefault="00AD1EF0" w:rsidP="00AD1EF0">
                  <w:pPr>
                    <w:shd w:val="clear" w:color="auto" w:fill="FFFFFF"/>
                    <w:jc w:val="center"/>
                  </w:pPr>
                  <w:r>
                    <w:rPr>
                      <w:color w:val="000000"/>
                      <w:sz w:val="18"/>
                      <w:szCs w:val="18"/>
                    </w:rPr>
                    <w:t>98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AD1EF0" w:rsidRDefault="00AD1EF0" w:rsidP="00AD1EF0">
                  <w:pPr>
                    <w:shd w:val="clear" w:color="auto" w:fill="FFFFFF"/>
                    <w:ind w:left="254"/>
                  </w:pPr>
                  <w:r>
                    <w:rPr>
                      <w:color w:val="000000"/>
                      <w:sz w:val="18"/>
                      <w:szCs w:val="18"/>
                    </w:rPr>
                    <w:t>83</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tcPr>
                <w:p w:rsidR="00AD1EF0" w:rsidRDefault="00AD1EF0" w:rsidP="00AD1EF0">
                  <w:pPr>
                    <w:shd w:val="clear" w:color="auto" w:fill="FFFFFF"/>
                    <w:ind w:left="254"/>
                  </w:pPr>
                  <w:r>
                    <w:rPr>
                      <w:color w:val="000000"/>
                      <w:sz w:val="18"/>
                      <w:szCs w:val="18"/>
                    </w:rPr>
                    <w:t>78</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tcPr>
                <w:p w:rsidR="00AD1EF0" w:rsidRDefault="00AD1EF0" w:rsidP="00AD1EF0">
                  <w:pPr>
                    <w:shd w:val="clear" w:color="auto" w:fill="FFFFFF"/>
                    <w:ind w:left="197"/>
                  </w:pPr>
                  <w:r>
                    <w:rPr>
                      <w:color w:val="000000"/>
                      <w:sz w:val="18"/>
                      <w:szCs w:val="18"/>
                    </w:rPr>
                    <w:t>74</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tcPr>
                <w:p w:rsidR="00AD1EF0" w:rsidRDefault="00AD1EF0" w:rsidP="00AD1EF0">
                  <w:pPr>
                    <w:shd w:val="clear" w:color="auto" w:fill="FFFFFF"/>
                    <w:ind w:left="182"/>
                  </w:pPr>
                  <w:r>
                    <w:rPr>
                      <w:color w:val="000000"/>
                      <w:sz w:val="18"/>
                      <w:szCs w:val="18"/>
                    </w:rPr>
                    <w:t>63</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Diğer AB Ülkeleri</w:t>
                  </w:r>
                  <w:r>
                    <w:rPr>
                      <w:rFonts w:ascii="Cambria" w:hAnsi="Cambria"/>
                      <w:bCs/>
                      <w:sz w:val="16"/>
                      <w:szCs w:val="16"/>
                    </w:rPr>
                    <w:t xml:space="preserve"> </w:t>
                  </w:r>
                  <w:r w:rsidRPr="00304F1C">
                    <w:rPr>
                      <w:rFonts w:ascii="Cambria" w:hAnsi="Cambria"/>
                      <w:bCs/>
                      <w:sz w:val="16"/>
                      <w:szCs w:val="16"/>
                    </w:rPr>
                    <w:t xml:space="preserve"> (Euro)</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76"/>
                  </w:pPr>
                  <w:r>
                    <w:rPr>
                      <w:color w:val="000000"/>
                      <w:sz w:val="18"/>
                      <w:szCs w:val="18"/>
                    </w:rPr>
                    <w:t>127</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101</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59"/>
                  </w:pPr>
                  <w:r>
                    <w:rPr>
                      <w:color w:val="000000"/>
                      <w:sz w:val="18"/>
                      <w:szCs w:val="18"/>
                    </w:rPr>
                    <w:t>86</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59"/>
                  </w:pPr>
                  <w:r>
                    <w:rPr>
                      <w:color w:val="000000"/>
                      <w:sz w:val="18"/>
                      <w:szCs w:val="18"/>
                    </w:rPr>
                    <w:t>81</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97"/>
                  </w:pPr>
                  <w:r>
                    <w:rPr>
                      <w:color w:val="000000"/>
                      <w:sz w:val="18"/>
                      <w:szCs w:val="18"/>
                    </w:rPr>
                    <w:t>76</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7"/>
                  </w:pPr>
                  <w:r>
                    <w:rPr>
                      <w:color w:val="000000"/>
                      <w:sz w:val="18"/>
                      <w:szCs w:val="18"/>
                    </w:rPr>
                    <w:t>65</w:t>
                  </w:r>
                  <w:r>
                    <w:t xml:space="preserve"> </w:t>
                  </w:r>
                </w:p>
              </w:tc>
            </w:tr>
            <w:tr w:rsidR="00AD1EF0" w:rsidRPr="00304F1C" w:rsidTr="00AD1EF0">
              <w:trPr>
                <w:trHeight w:val="397"/>
                <w:tblCellSpacing w:w="20" w:type="dxa"/>
                <w:jc w:val="center"/>
              </w:trPr>
              <w:tc>
                <w:tcPr>
                  <w:tcW w:w="2324" w:type="dxa"/>
                  <w:gridSpan w:val="2"/>
                  <w:shd w:val="clear" w:color="auto" w:fill="auto"/>
                  <w:vAlign w:val="bottom"/>
                </w:tcPr>
                <w:p w:rsidR="00AD1EF0" w:rsidRPr="00304F1C" w:rsidRDefault="00AD1EF0" w:rsidP="00AD1EF0">
                  <w:pPr>
                    <w:spacing w:line="280" w:lineRule="atLeast"/>
                    <w:rPr>
                      <w:rFonts w:ascii="Cambria" w:hAnsi="Cambria"/>
                      <w:bCs/>
                      <w:sz w:val="16"/>
                      <w:szCs w:val="16"/>
                    </w:rPr>
                  </w:pPr>
                  <w:r w:rsidRPr="00304F1C">
                    <w:rPr>
                      <w:rFonts w:ascii="Cambria" w:hAnsi="Cambria"/>
                      <w:bCs/>
                      <w:sz w:val="16"/>
                      <w:szCs w:val="16"/>
                    </w:rPr>
                    <w:t>Diğer Ülkeler</w:t>
                  </w:r>
                  <w:r>
                    <w:rPr>
                      <w:rFonts w:ascii="Cambria" w:hAnsi="Cambria"/>
                      <w:bCs/>
                      <w:sz w:val="16"/>
                      <w:szCs w:val="16"/>
                    </w:rPr>
                    <w:t xml:space="preserve"> </w:t>
                  </w:r>
                  <w:r w:rsidRPr="00304F1C">
                    <w:rPr>
                      <w:rFonts w:ascii="Cambria" w:hAnsi="Cambria"/>
                      <w:bCs/>
                      <w:sz w:val="16"/>
                      <w:szCs w:val="16"/>
                    </w:rPr>
                    <w:t xml:space="preserve"> (A.B.D. Doları)</w:t>
                  </w:r>
                </w:p>
              </w:tc>
              <w:tc>
                <w:tcPr>
                  <w:tcW w:w="112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571"/>
                  </w:pPr>
                  <w:r>
                    <w:rPr>
                      <w:color w:val="000000"/>
                      <w:sz w:val="18"/>
                      <w:szCs w:val="18"/>
                    </w:rPr>
                    <w:t>157</w:t>
                  </w:r>
                  <w:r>
                    <w:t xml:space="preserve"> </w:t>
                  </w:r>
                </w:p>
              </w:tc>
              <w:tc>
                <w:tcPr>
                  <w:tcW w:w="97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jc w:val="center"/>
                  </w:pPr>
                  <w:r>
                    <w:rPr>
                      <w:color w:val="000000"/>
                      <w:sz w:val="18"/>
                      <w:szCs w:val="18"/>
                    </w:rPr>
                    <w:t>125</w:t>
                  </w:r>
                </w:p>
              </w:tc>
              <w:tc>
                <w:tcPr>
                  <w:tcW w:w="968" w:type="dxa"/>
                  <w:tcBorders>
                    <w:top w:val="single" w:sz="6" w:space="0" w:color="auto"/>
                    <w:left w:val="single" w:sz="6" w:space="0" w:color="auto"/>
                    <w:bottom w:val="single" w:sz="6" w:space="0" w:color="auto"/>
                    <w:right w:val="single" w:sz="6" w:space="0" w:color="auto"/>
                  </w:tcBorders>
                  <w:shd w:val="clear" w:color="auto" w:fill="FFFFFF"/>
                  <w:vAlign w:val="bottom"/>
                </w:tcPr>
                <w:p w:rsidR="00AD1EF0" w:rsidRDefault="00AD1EF0" w:rsidP="00AD1EF0">
                  <w:pPr>
                    <w:shd w:val="clear" w:color="auto" w:fill="FFFFFF"/>
                    <w:ind w:left="240"/>
                  </w:pPr>
                  <w:r>
                    <w:rPr>
                      <w:color w:val="000000"/>
                      <w:sz w:val="18"/>
                      <w:szCs w:val="18"/>
                    </w:rPr>
                    <w:t>106</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30"/>
                  </w:pPr>
                  <w:r>
                    <w:rPr>
                      <w:color w:val="000000"/>
                    </w:rPr>
                    <w:t>100</w:t>
                  </w:r>
                  <w:r>
                    <w:t xml:space="preserve"> </w:t>
                  </w:r>
                </w:p>
              </w:tc>
              <w:tc>
                <w:tcPr>
                  <w:tcW w:w="98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202"/>
                  </w:pPr>
                  <w:r>
                    <w:rPr>
                      <w:color w:val="000000"/>
                      <w:sz w:val="18"/>
                      <w:szCs w:val="18"/>
                    </w:rPr>
                    <w:t>95</w:t>
                  </w:r>
                  <w:r>
                    <w:t xml:space="preserve"> </w:t>
                  </w:r>
                </w:p>
              </w:tc>
              <w:tc>
                <w:tcPr>
                  <w:tcW w:w="123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D1EF0" w:rsidRDefault="00AD1EF0" w:rsidP="00AD1EF0">
                  <w:pPr>
                    <w:shd w:val="clear" w:color="auto" w:fill="FFFFFF"/>
                    <w:ind w:left="187"/>
                  </w:pPr>
                  <w:r>
                    <w:rPr>
                      <w:color w:val="000000"/>
                      <w:sz w:val="18"/>
                      <w:szCs w:val="18"/>
                    </w:rPr>
                    <w:t>80</w:t>
                  </w:r>
                  <w:r>
                    <w:t xml:space="preserve"> </w:t>
                  </w:r>
                </w:p>
              </w:tc>
            </w:tr>
          </w:tbl>
          <w:p w:rsidR="00AD1EF0" w:rsidRPr="00304F1C" w:rsidRDefault="00AD1EF0" w:rsidP="00AD1EF0"/>
          <w:p w:rsidR="00AD1EF0" w:rsidRDefault="00AD1EF0" w:rsidP="00AD1EF0">
            <w:pPr>
              <w:spacing w:line="360" w:lineRule="auto"/>
              <w:jc w:val="both"/>
              <w:rPr>
                <w:rFonts w:ascii="Cambria" w:hAnsi="Cambria"/>
              </w:rPr>
            </w:pPr>
          </w:p>
          <w:p w:rsidR="00AD1EF0" w:rsidRDefault="00AD1EF0" w:rsidP="00AD1EF0">
            <w:pPr>
              <w:spacing w:line="360" w:lineRule="auto"/>
              <w:jc w:val="both"/>
              <w:rPr>
                <w:rFonts w:ascii="Cambria" w:hAnsi="Cambria"/>
              </w:rPr>
            </w:pPr>
          </w:p>
          <w:p w:rsidR="00AD1EF0" w:rsidRPr="00304F1C" w:rsidRDefault="00AD1EF0" w:rsidP="00AD1EF0">
            <w:pPr>
              <w:spacing w:line="300" w:lineRule="atLeast"/>
              <w:jc w:val="both"/>
              <w:rPr>
                <w:rFonts w:ascii="Cambria" w:eastAsia="Batang" w:hAnsi="Cambria" w:cs="Arial"/>
              </w:rPr>
            </w:pPr>
          </w:p>
          <w:p w:rsidR="00AD1EF0" w:rsidRPr="00304F1C" w:rsidRDefault="00AD1EF0" w:rsidP="00AD1EF0">
            <w:pPr>
              <w:pStyle w:val="ListeParagraf"/>
              <w:numPr>
                <w:ilvl w:val="0"/>
                <w:numId w:val="17"/>
              </w:numPr>
              <w:spacing w:after="0" w:line="300" w:lineRule="atLeast"/>
              <w:jc w:val="both"/>
              <w:rPr>
                <w:rFonts w:ascii="Cambria" w:eastAsia="Batang" w:hAnsi="Cambria" w:cs="Arial"/>
                <w:b/>
              </w:rPr>
            </w:pPr>
            <w:r w:rsidRPr="00304F1C">
              <w:rPr>
                <w:rFonts w:ascii="Cambria" w:eastAsia="Batang" w:hAnsi="Cambria" w:cs="Arial"/>
                <w:b/>
              </w:rPr>
              <w:t>KUZEY KIBRIS TÜRK CUMHURİYETİNE YAPILACAK YOLCULUKLARDA GELİR VERGİSİNDEN İSTİSNA HARCIRAH TUTARLARI</w:t>
            </w:r>
          </w:p>
          <w:p w:rsidR="00AD1EF0" w:rsidRDefault="00AD1EF0" w:rsidP="00AD1EF0">
            <w:pPr>
              <w:pStyle w:val="ListeParagraf"/>
              <w:spacing w:line="300" w:lineRule="atLeast"/>
              <w:ind w:left="1080"/>
              <w:jc w:val="both"/>
              <w:rPr>
                <w:rFonts w:ascii="Cambria" w:eastAsia="Batang" w:hAnsi="Cambria" w:cs="Arial"/>
                <w:b/>
              </w:rPr>
            </w:pPr>
          </w:p>
          <w:p w:rsidR="00AD1EF0" w:rsidRDefault="00AD1EF0" w:rsidP="00AD1EF0">
            <w:pPr>
              <w:pStyle w:val="ListeParagraf"/>
              <w:spacing w:line="300" w:lineRule="atLeast"/>
              <w:ind w:left="1080"/>
              <w:jc w:val="both"/>
              <w:rPr>
                <w:rFonts w:ascii="Cambria" w:eastAsia="Batang" w:hAnsi="Cambria" w:cs="Arial"/>
                <w:b/>
              </w:rPr>
            </w:pPr>
          </w:p>
          <w:tbl>
            <w:tblPr>
              <w:tblStyle w:val="TabloKlavuzu"/>
              <w:tblW w:w="0" w:type="auto"/>
              <w:jc w:val="center"/>
              <w:tblLook w:val="04A0" w:firstRow="1" w:lastRow="0" w:firstColumn="1" w:lastColumn="0" w:noHBand="0" w:noVBand="1"/>
            </w:tblPr>
            <w:tblGrid>
              <w:gridCol w:w="3202"/>
              <w:gridCol w:w="2468"/>
            </w:tblGrid>
            <w:tr w:rsidR="00AD1EF0" w:rsidTr="0090029C">
              <w:trPr>
                <w:jc w:val="center"/>
              </w:trPr>
              <w:tc>
                <w:tcPr>
                  <w:tcW w:w="3202" w:type="dxa"/>
                </w:tcPr>
                <w:p w:rsidR="00AD1EF0" w:rsidRPr="00D6554D" w:rsidRDefault="00AD1EF0" w:rsidP="00AD1EF0">
                  <w:pPr>
                    <w:jc w:val="center"/>
                    <w:rPr>
                      <w:rFonts w:ascii="Calibri Light" w:hAnsi="Calibri Light"/>
                      <w:b/>
                    </w:rPr>
                  </w:pPr>
                  <w:r w:rsidRPr="00D6554D">
                    <w:rPr>
                      <w:rFonts w:ascii="Calibri Light" w:hAnsi="Calibri Light"/>
                      <w:b/>
                    </w:rPr>
                    <w:t xml:space="preserve">1.1.2017 – 30.06.2017 Dönemi İçin </w:t>
                  </w:r>
                  <w:proofErr w:type="spellStart"/>
                  <w:r w:rsidRPr="00D6554D">
                    <w:rPr>
                      <w:rFonts w:ascii="Calibri Light" w:hAnsi="Calibri Light"/>
                      <w:b/>
                    </w:rPr>
                    <w:t>Geçeçerli</w:t>
                  </w:r>
                  <w:proofErr w:type="spellEnd"/>
                  <w:r w:rsidRPr="00D6554D">
                    <w:rPr>
                      <w:rFonts w:ascii="Calibri Light" w:hAnsi="Calibri Light"/>
                      <w:b/>
                    </w:rPr>
                    <w:t xml:space="preserve"> Brüt Aylık Tutarı (TL)</w:t>
                  </w:r>
                </w:p>
              </w:tc>
              <w:tc>
                <w:tcPr>
                  <w:tcW w:w="2468" w:type="dxa"/>
                </w:tcPr>
                <w:p w:rsidR="00AD1EF0" w:rsidRPr="00D6554D" w:rsidRDefault="00AD1EF0" w:rsidP="00AD1EF0">
                  <w:pPr>
                    <w:jc w:val="center"/>
                    <w:rPr>
                      <w:rFonts w:ascii="Calibri Light" w:hAnsi="Calibri Light"/>
                      <w:b/>
                      <w:color w:val="000000"/>
                      <w:lang w:val="en-US"/>
                    </w:rPr>
                  </w:pPr>
                  <w:proofErr w:type="spellStart"/>
                  <w:r w:rsidRPr="00D6554D">
                    <w:rPr>
                      <w:rFonts w:ascii="Calibri Light" w:hAnsi="Calibri Light"/>
                      <w:b/>
                      <w:color w:val="000000"/>
                      <w:lang w:val="en-US"/>
                    </w:rPr>
                    <w:t>Vergiden</w:t>
                  </w:r>
                  <w:proofErr w:type="spellEnd"/>
                  <w:r w:rsidRPr="00D6554D">
                    <w:rPr>
                      <w:rFonts w:ascii="Calibri Light" w:hAnsi="Calibri Light"/>
                      <w:b/>
                      <w:color w:val="000000"/>
                      <w:lang w:val="en-US"/>
                    </w:rPr>
                    <w:t xml:space="preserve"> </w:t>
                  </w:r>
                  <w:proofErr w:type="spellStart"/>
                  <w:r w:rsidRPr="00D6554D">
                    <w:rPr>
                      <w:rFonts w:ascii="Calibri Light" w:hAnsi="Calibri Light"/>
                      <w:b/>
                      <w:color w:val="000000"/>
                      <w:lang w:val="en-US"/>
                    </w:rPr>
                    <w:t>İstisna</w:t>
                  </w:r>
                  <w:proofErr w:type="spellEnd"/>
                  <w:r w:rsidRPr="00D6554D">
                    <w:rPr>
                      <w:rFonts w:ascii="Calibri Light" w:hAnsi="Calibri Light"/>
                      <w:b/>
                      <w:color w:val="000000"/>
                      <w:lang w:val="en-US"/>
                    </w:rPr>
                    <w:t xml:space="preserve"> </w:t>
                  </w:r>
                  <w:proofErr w:type="spellStart"/>
                  <w:r w:rsidRPr="00D6554D">
                    <w:rPr>
                      <w:rFonts w:ascii="Calibri Light" w:hAnsi="Calibri Light"/>
                      <w:b/>
                      <w:color w:val="000000"/>
                      <w:lang w:val="en-US"/>
                    </w:rPr>
                    <w:t>Gündelik</w:t>
                  </w:r>
                  <w:proofErr w:type="spellEnd"/>
                  <w:r w:rsidRPr="00D6554D">
                    <w:rPr>
                      <w:rFonts w:ascii="Calibri Light" w:hAnsi="Calibri Light"/>
                      <w:b/>
                      <w:color w:val="000000"/>
                      <w:lang w:val="en-US"/>
                    </w:rPr>
                    <w:t xml:space="preserve"> </w:t>
                  </w:r>
                  <w:proofErr w:type="spellStart"/>
                  <w:r w:rsidRPr="00D6554D">
                    <w:rPr>
                      <w:rFonts w:ascii="Calibri Light" w:hAnsi="Calibri Light"/>
                      <w:b/>
                      <w:color w:val="000000"/>
                      <w:lang w:val="en-US"/>
                    </w:rPr>
                    <w:t>Tutarı</w:t>
                  </w:r>
                  <w:proofErr w:type="spellEnd"/>
                  <w:r w:rsidRPr="00D6554D">
                    <w:rPr>
                      <w:rFonts w:ascii="Calibri Light" w:hAnsi="Calibri Light"/>
                      <w:b/>
                      <w:color w:val="000000"/>
                      <w:lang w:val="en-US"/>
                    </w:rPr>
                    <w:t xml:space="preserve"> (TL)</w:t>
                  </w:r>
                </w:p>
              </w:tc>
            </w:tr>
            <w:tr w:rsidR="00AD1EF0" w:rsidTr="0090029C">
              <w:trPr>
                <w:jc w:val="center"/>
              </w:trPr>
              <w:tc>
                <w:tcPr>
                  <w:tcW w:w="3202" w:type="dxa"/>
                </w:tcPr>
                <w:p w:rsidR="00AD1EF0" w:rsidRPr="00D6554D" w:rsidRDefault="00AD1EF0" w:rsidP="00AD1EF0">
                  <w:pPr>
                    <w:jc w:val="both"/>
                    <w:rPr>
                      <w:rFonts w:ascii="Calibri Light" w:hAnsi="Calibri Light"/>
                      <w:b/>
                      <w:sz w:val="18"/>
                      <w:szCs w:val="18"/>
                    </w:rPr>
                  </w:pPr>
                  <w:r w:rsidRPr="00D6554D">
                    <w:rPr>
                      <w:rFonts w:ascii="Calibri Light" w:hAnsi="Calibri Light"/>
                      <w:color w:val="000000"/>
                      <w:lang w:val="en-US"/>
                    </w:rPr>
                    <w:t xml:space="preserve">2.416,15  TL ve </w:t>
                  </w:r>
                  <w:proofErr w:type="spellStart"/>
                  <w:r w:rsidRPr="00D6554D">
                    <w:rPr>
                      <w:rFonts w:ascii="Calibri Light" w:hAnsi="Calibri Light"/>
                      <w:color w:val="000000"/>
                      <w:lang w:val="en-US"/>
                    </w:rPr>
                    <w:t>fazlası</w:t>
                  </w:r>
                  <w:proofErr w:type="spellEnd"/>
                </w:p>
              </w:tc>
              <w:tc>
                <w:tcPr>
                  <w:tcW w:w="2468" w:type="dxa"/>
                </w:tcPr>
                <w:p w:rsidR="00AD1EF0" w:rsidRPr="00D6554D" w:rsidRDefault="00AD1EF0" w:rsidP="00AD1EF0">
                  <w:pPr>
                    <w:jc w:val="center"/>
                    <w:rPr>
                      <w:rFonts w:ascii="Calibri Light" w:hAnsi="Calibri Light"/>
                      <w:color w:val="000000"/>
                      <w:lang w:val="en-US"/>
                    </w:rPr>
                  </w:pPr>
                  <w:r w:rsidRPr="00D6554D">
                    <w:rPr>
                      <w:rFonts w:ascii="Calibri Light" w:hAnsi="Calibri Light"/>
                      <w:color w:val="000000"/>
                      <w:lang w:val="en-US"/>
                    </w:rPr>
                    <w:t>150,60</w:t>
                  </w:r>
                </w:p>
              </w:tc>
            </w:tr>
            <w:tr w:rsidR="00AD1EF0" w:rsidTr="0090029C">
              <w:trPr>
                <w:jc w:val="center"/>
              </w:trPr>
              <w:tc>
                <w:tcPr>
                  <w:tcW w:w="3202" w:type="dxa"/>
                </w:tcPr>
                <w:p w:rsidR="00AD1EF0" w:rsidRPr="00D6554D" w:rsidRDefault="00AD1EF0" w:rsidP="00AD1EF0">
                  <w:pPr>
                    <w:jc w:val="both"/>
                    <w:rPr>
                      <w:rFonts w:ascii="Calibri Light" w:hAnsi="Calibri Light"/>
                      <w:color w:val="000000"/>
                      <w:lang w:val="en-US"/>
                    </w:rPr>
                  </w:pPr>
                  <w:r w:rsidRPr="00D6554D">
                    <w:rPr>
                      <w:rFonts w:ascii="Calibri Light" w:hAnsi="Calibri Light"/>
                      <w:color w:val="000000"/>
                      <w:lang w:val="en-US"/>
                    </w:rPr>
                    <w:t xml:space="preserve">2.398,86 – 2.416,14 TL </w:t>
                  </w:r>
                  <w:proofErr w:type="spellStart"/>
                  <w:r w:rsidRPr="00D6554D">
                    <w:rPr>
                      <w:rFonts w:ascii="Calibri Light" w:hAnsi="Calibri Light"/>
                      <w:color w:val="000000"/>
                      <w:lang w:val="en-US"/>
                    </w:rPr>
                    <w:t>arası</w:t>
                  </w:r>
                  <w:proofErr w:type="spellEnd"/>
                </w:p>
              </w:tc>
              <w:tc>
                <w:tcPr>
                  <w:tcW w:w="2468" w:type="dxa"/>
                </w:tcPr>
                <w:p w:rsidR="00AD1EF0" w:rsidRPr="00D6554D" w:rsidRDefault="00AD1EF0" w:rsidP="00AD1EF0">
                  <w:pPr>
                    <w:jc w:val="center"/>
                    <w:rPr>
                      <w:rFonts w:ascii="Calibri Light" w:hAnsi="Calibri Light"/>
                      <w:color w:val="000000"/>
                      <w:lang w:val="en-US"/>
                    </w:rPr>
                  </w:pPr>
                  <w:r w:rsidRPr="00D6554D">
                    <w:rPr>
                      <w:rFonts w:ascii="Calibri Light" w:hAnsi="Calibri Light"/>
                      <w:color w:val="000000"/>
                      <w:lang w:val="en-US"/>
                    </w:rPr>
                    <w:t>131,25</w:t>
                  </w:r>
                </w:p>
              </w:tc>
            </w:tr>
            <w:tr w:rsidR="00AD1EF0" w:rsidTr="0090029C">
              <w:trPr>
                <w:jc w:val="center"/>
              </w:trPr>
              <w:tc>
                <w:tcPr>
                  <w:tcW w:w="3202" w:type="dxa"/>
                </w:tcPr>
                <w:p w:rsidR="00AD1EF0" w:rsidRPr="00D6554D" w:rsidRDefault="00AD1EF0" w:rsidP="00AD1EF0">
                  <w:pPr>
                    <w:jc w:val="both"/>
                    <w:rPr>
                      <w:rFonts w:ascii="Calibri Light" w:hAnsi="Calibri Light"/>
                      <w:color w:val="000000"/>
                      <w:lang w:val="en-US"/>
                    </w:rPr>
                  </w:pPr>
                  <w:r w:rsidRPr="00D6554D">
                    <w:rPr>
                      <w:rFonts w:ascii="Calibri Light" w:hAnsi="Calibri Light"/>
                      <w:color w:val="000000"/>
                      <w:lang w:val="en-US"/>
                    </w:rPr>
                    <w:t xml:space="preserve">1.630,39 – 2.398,85 TL </w:t>
                  </w:r>
                  <w:proofErr w:type="spellStart"/>
                  <w:r w:rsidRPr="00D6554D">
                    <w:rPr>
                      <w:rFonts w:ascii="Calibri Light" w:hAnsi="Calibri Light"/>
                      <w:color w:val="000000"/>
                      <w:lang w:val="en-US"/>
                    </w:rPr>
                    <w:t>arası</w:t>
                  </w:r>
                  <w:proofErr w:type="spellEnd"/>
                </w:p>
              </w:tc>
              <w:tc>
                <w:tcPr>
                  <w:tcW w:w="2468" w:type="dxa"/>
                </w:tcPr>
                <w:p w:rsidR="00AD1EF0" w:rsidRPr="00D6554D" w:rsidRDefault="00AD1EF0" w:rsidP="00AD1EF0">
                  <w:pPr>
                    <w:jc w:val="center"/>
                    <w:rPr>
                      <w:rFonts w:ascii="Calibri Light" w:hAnsi="Calibri Light"/>
                      <w:color w:val="000000"/>
                      <w:lang w:val="en-US"/>
                    </w:rPr>
                  </w:pPr>
                  <w:r w:rsidRPr="00D6554D">
                    <w:rPr>
                      <w:rFonts w:ascii="Calibri Light" w:hAnsi="Calibri Light"/>
                      <w:color w:val="000000"/>
                      <w:lang w:val="en-US"/>
                    </w:rPr>
                    <w:t>112,54</w:t>
                  </w:r>
                </w:p>
              </w:tc>
            </w:tr>
            <w:tr w:rsidR="00AD1EF0" w:rsidTr="0090029C">
              <w:trPr>
                <w:jc w:val="center"/>
              </w:trPr>
              <w:tc>
                <w:tcPr>
                  <w:tcW w:w="3202" w:type="dxa"/>
                </w:tcPr>
                <w:p w:rsidR="00AD1EF0" w:rsidRPr="00D6554D" w:rsidRDefault="00AD1EF0" w:rsidP="00AD1EF0">
                  <w:pPr>
                    <w:jc w:val="both"/>
                    <w:rPr>
                      <w:rFonts w:ascii="Calibri Light" w:hAnsi="Calibri Light"/>
                      <w:color w:val="000000"/>
                      <w:lang w:val="en-US"/>
                    </w:rPr>
                  </w:pPr>
                  <w:r w:rsidRPr="00D6554D">
                    <w:rPr>
                      <w:rFonts w:ascii="Calibri Light" w:hAnsi="Calibri Light"/>
                      <w:color w:val="000000"/>
                      <w:lang w:val="en-US"/>
                    </w:rPr>
                    <w:lastRenderedPageBreak/>
                    <w:t xml:space="preserve">1.591,49 – 1.630,38 TL </w:t>
                  </w:r>
                  <w:proofErr w:type="spellStart"/>
                  <w:r w:rsidRPr="00D6554D">
                    <w:rPr>
                      <w:rFonts w:ascii="Calibri Light" w:hAnsi="Calibri Light"/>
                      <w:color w:val="000000"/>
                      <w:lang w:val="en-US"/>
                    </w:rPr>
                    <w:t>arası</w:t>
                  </w:r>
                  <w:proofErr w:type="spellEnd"/>
                </w:p>
              </w:tc>
              <w:tc>
                <w:tcPr>
                  <w:tcW w:w="2468" w:type="dxa"/>
                </w:tcPr>
                <w:p w:rsidR="00AD1EF0" w:rsidRPr="00D6554D" w:rsidRDefault="00AD1EF0" w:rsidP="00AD1EF0">
                  <w:pPr>
                    <w:jc w:val="center"/>
                    <w:rPr>
                      <w:rFonts w:ascii="Calibri Light" w:hAnsi="Calibri Light"/>
                      <w:color w:val="000000"/>
                      <w:lang w:val="en-US"/>
                    </w:rPr>
                  </w:pPr>
                  <w:r w:rsidRPr="00D6554D">
                    <w:rPr>
                      <w:rFonts w:ascii="Calibri Light" w:hAnsi="Calibri Light"/>
                      <w:color w:val="000000"/>
                      <w:lang w:val="en-US"/>
                    </w:rPr>
                    <w:t>93,77</w:t>
                  </w:r>
                </w:p>
              </w:tc>
            </w:tr>
            <w:tr w:rsidR="00AD1EF0" w:rsidTr="0090029C">
              <w:trPr>
                <w:jc w:val="center"/>
              </w:trPr>
              <w:tc>
                <w:tcPr>
                  <w:tcW w:w="3202" w:type="dxa"/>
                </w:tcPr>
                <w:p w:rsidR="00AD1EF0" w:rsidRPr="00D6554D" w:rsidRDefault="00AD1EF0" w:rsidP="00AD1EF0">
                  <w:pPr>
                    <w:jc w:val="both"/>
                    <w:rPr>
                      <w:rFonts w:ascii="Calibri Light" w:hAnsi="Calibri Light"/>
                      <w:color w:val="000000"/>
                      <w:lang w:val="en-US"/>
                    </w:rPr>
                  </w:pPr>
                  <w:r w:rsidRPr="00D6554D">
                    <w:rPr>
                      <w:rFonts w:ascii="Calibri Light" w:hAnsi="Calibri Light"/>
                      <w:color w:val="000000"/>
                      <w:lang w:val="en-US"/>
                    </w:rPr>
                    <w:t xml:space="preserve">1.591,48 TL ve </w:t>
                  </w:r>
                  <w:proofErr w:type="spellStart"/>
                  <w:r w:rsidRPr="00D6554D">
                    <w:rPr>
                      <w:rFonts w:ascii="Calibri Light" w:hAnsi="Calibri Light"/>
                      <w:color w:val="000000"/>
                      <w:lang w:val="en-US"/>
                    </w:rPr>
                    <w:t>daha</w:t>
                  </w:r>
                  <w:proofErr w:type="spellEnd"/>
                  <w:r w:rsidRPr="00D6554D">
                    <w:rPr>
                      <w:rFonts w:ascii="Calibri Light" w:hAnsi="Calibri Light"/>
                      <w:color w:val="000000"/>
                      <w:lang w:val="en-US"/>
                    </w:rPr>
                    <w:t xml:space="preserve"> </w:t>
                  </w:r>
                  <w:proofErr w:type="spellStart"/>
                  <w:r w:rsidRPr="00D6554D">
                    <w:rPr>
                      <w:rFonts w:ascii="Calibri Light" w:hAnsi="Calibri Light"/>
                      <w:color w:val="000000"/>
                      <w:lang w:val="en-US"/>
                    </w:rPr>
                    <w:t>azı</w:t>
                  </w:r>
                  <w:proofErr w:type="spellEnd"/>
                </w:p>
              </w:tc>
              <w:tc>
                <w:tcPr>
                  <w:tcW w:w="2468" w:type="dxa"/>
                </w:tcPr>
                <w:p w:rsidR="00AD1EF0" w:rsidRPr="00D6554D" w:rsidRDefault="00AD1EF0" w:rsidP="00AD1EF0">
                  <w:pPr>
                    <w:jc w:val="center"/>
                    <w:rPr>
                      <w:rFonts w:ascii="Calibri Light" w:hAnsi="Calibri Light"/>
                      <w:color w:val="000000"/>
                      <w:lang w:val="en-US"/>
                    </w:rPr>
                  </w:pPr>
                  <w:r w:rsidRPr="00D6554D">
                    <w:rPr>
                      <w:rFonts w:ascii="Calibri Light" w:hAnsi="Calibri Light"/>
                      <w:color w:val="000000"/>
                      <w:lang w:val="en-US"/>
                    </w:rPr>
                    <w:t>75,05</w:t>
                  </w:r>
                </w:p>
              </w:tc>
            </w:tr>
          </w:tbl>
          <w:p w:rsidR="00AD1EF0" w:rsidRDefault="00AD1EF0" w:rsidP="00AD1EF0">
            <w:pPr>
              <w:spacing w:line="240" w:lineRule="atLeast"/>
              <w:jc w:val="both"/>
              <w:rPr>
                <w:rFonts w:ascii="Arial Unicode MS" w:eastAsia="Arial Unicode MS" w:hAnsi="Arial Unicode MS" w:cs="Arial Unicode MS"/>
                <w:bCs/>
                <w:sz w:val="24"/>
                <w:szCs w:val="24"/>
              </w:rPr>
            </w:pPr>
          </w:p>
          <w:p w:rsidR="00C77BB1" w:rsidRPr="00FB310A" w:rsidRDefault="00C77BB1" w:rsidP="00080011">
            <w:pPr>
              <w:spacing w:line="360" w:lineRule="auto"/>
              <w:jc w:val="both"/>
              <w:rPr>
                <w:rFonts w:ascii="Times New Roman" w:eastAsia="Batang" w:hAnsi="Times New Roman" w:cs="Times New Roman"/>
                <w:bCs/>
                <w:sz w:val="24"/>
                <w:szCs w:val="24"/>
              </w:rPr>
            </w:pPr>
          </w:p>
        </w:tc>
      </w:tr>
    </w:tbl>
    <w:p w:rsidR="00E4617D" w:rsidRDefault="00E4617D">
      <w:pPr>
        <w:spacing w:after="160" w:line="259" w:lineRule="auto"/>
        <w:rPr>
          <w:rFonts w:ascii="Times New Roman" w:hAnsi="Times New Roman" w:cs="Times New Roman"/>
          <w:sz w:val="24"/>
          <w:szCs w:val="24"/>
        </w:rPr>
      </w:pPr>
    </w:p>
    <w:p w:rsidR="00614513" w:rsidRDefault="00614513">
      <w:pPr>
        <w:spacing w:after="160" w:line="259" w:lineRule="auto"/>
        <w:rPr>
          <w:rFonts w:ascii="Times New Roman" w:hAnsi="Times New Roman" w:cs="Times New Roman"/>
          <w:sz w:val="24"/>
          <w:szCs w:val="24"/>
        </w:rPr>
      </w:pPr>
    </w:p>
    <w:p w:rsidR="00C77BB1" w:rsidRDefault="00051C13">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5AC9C59B" wp14:editId="09AE9EC8">
            <wp:extent cx="1871345" cy="469265"/>
            <wp:effectExtent l="0" t="0" r="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051C13" w:rsidRPr="00DE2035" w:rsidRDefault="00051C13" w:rsidP="00051C13">
      <w:pPr>
        <w:spacing w:after="0" w:line="240" w:lineRule="auto"/>
        <w:rPr>
          <w:rFonts w:ascii="Arial" w:hAnsi="Arial" w:cs="Arial"/>
          <w:b/>
          <w:color w:val="00B0F0"/>
          <w:sz w:val="24"/>
          <w:szCs w:val="24"/>
        </w:rPr>
      </w:pPr>
      <w:r w:rsidRPr="00DE2035">
        <w:rPr>
          <w:rFonts w:ascii="Arial" w:hAnsi="Arial" w:cs="Arial"/>
          <w:b/>
          <w:color w:val="00B0F0"/>
          <w:sz w:val="24"/>
          <w:szCs w:val="24"/>
        </w:rPr>
        <w:t>BAKIŞ YMM VE BAĞIMSIZ DENETİM A.Ş</w:t>
      </w:r>
    </w:p>
    <w:p w:rsidR="00051C13" w:rsidRPr="00DE2035" w:rsidRDefault="00051C13" w:rsidP="00051C13">
      <w:pPr>
        <w:spacing w:after="0" w:line="240" w:lineRule="auto"/>
        <w:rPr>
          <w:rFonts w:ascii="Arial" w:hAnsi="Arial" w:cs="Arial"/>
          <w:b/>
          <w:color w:val="00B0F0"/>
          <w:sz w:val="24"/>
          <w:szCs w:val="24"/>
        </w:rPr>
      </w:pPr>
      <w:r w:rsidRPr="00DE2035">
        <w:rPr>
          <w:rFonts w:ascii="Arial" w:hAnsi="Arial" w:cs="Arial"/>
          <w:b/>
          <w:color w:val="00B0F0"/>
          <w:sz w:val="24"/>
          <w:szCs w:val="24"/>
        </w:rPr>
        <w:t xml:space="preserve">              YEMİNLİ MALİ MÜŞAVİR</w:t>
      </w:r>
    </w:p>
    <w:p w:rsidR="00051C13" w:rsidRDefault="00051C13" w:rsidP="00051C13">
      <w:pPr>
        <w:spacing w:after="160" w:line="259" w:lineRule="auto"/>
        <w:rPr>
          <w:rFonts w:ascii="Times New Roman" w:hAnsi="Times New Roman" w:cs="Times New Roman"/>
          <w:sz w:val="24"/>
          <w:szCs w:val="24"/>
        </w:rPr>
      </w:pPr>
      <w:r w:rsidRPr="00DE2035">
        <w:rPr>
          <w:rFonts w:ascii="Arial" w:eastAsia="Times New Roman" w:hAnsi="Arial" w:cs="Arial"/>
          <w:b/>
          <w:color w:val="00B0F0"/>
          <w:sz w:val="24"/>
          <w:szCs w:val="24"/>
          <w:lang w:eastAsia="tr-TR"/>
        </w:rPr>
        <w:t xml:space="preserve">                     İLHAN ALKILIÇ</w:t>
      </w:r>
      <w:bookmarkStart w:id="0" w:name="_GoBack"/>
      <w:bookmarkEnd w:id="0"/>
    </w:p>
    <w:p w:rsidR="00051C13" w:rsidRDefault="00051C13">
      <w:pPr>
        <w:spacing w:after="160" w:line="259" w:lineRule="auto"/>
        <w:rPr>
          <w:rFonts w:ascii="Times New Roman" w:hAnsi="Times New Roman" w:cs="Times New Roman"/>
          <w:sz w:val="24"/>
          <w:szCs w:val="24"/>
        </w:rPr>
        <w:sectPr w:rsidR="00051C13">
          <w:pgSz w:w="11906" w:h="16838"/>
          <w:pgMar w:top="1417" w:right="1417" w:bottom="1417" w:left="1417" w:header="708" w:footer="708" w:gutter="0"/>
          <w:cols w:space="708"/>
          <w:docGrid w:linePitch="360"/>
        </w:sectPr>
      </w:pPr>
    </w:p>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037115" w:rsidRDefault="0003711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37115" w:rsidRDefault="00037115">
      <w:pPr>
        <w:spacing w:after="160" w:line="259" w:lineRule="auto"/>
        <w:rPr>
          <w:rFonts w:ascii="Times New Roman" w:hAnsi="Times New Roman" w:cs="Times New Roman"/>
          <w:sz w:val="24"/>
          <w:szCs w:val="24"/>
        </w:rPr>
        <w:sectPr w:rsidR="00037115" w:rsidSect="00C77BB1">
          <w:pgSz w:w="16838" w:h="11906" w:orient="landscape"/>
          <w:pgMar w:top="1418" w:right="1418" w:bottom="1418" w:left="1418" w:header="709" w:footer="709" w:gutter="0"/>
          <w:cols w:space="708"/>
          <w:docGrid w:linePitch="360"/>
        </w:sectPr>
      </w:pPr>
    </w:p>
    <w:tbl>
      <w:tblPr>
        <w:tblW w:w="8789" w:type="dxa"/>
        <w:jc w:val="center"/>
        <w:tblCellMar>
          <w:left w:w="0" w:type="dxa"/>
          <w:right w:w="0" w:type="dxa"/>
        </w:tblCellMar>
        <w:tblLook w:val="04A0" w:firstRow="1" w:lastRow="0" w:firstColumn="1" w:lastColumn="0" w:noHBand="0" w:noVBand="1"/>
      </w:tblPr>
      <w:tblGrid>
        <w:gridCol w:w="3123"/>
        <w:gridCol w:w="2983"/>
        <w:gridCol w:w="2964"/>
      </w:tblGrid>
      <w:tr w:rsidR="00037115" w:rsidRPr="00037115" w:rsidTr="001B33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lastRenderedPageBreak/>
              <w:t>31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jc w:val="center"/>
              <w:rPr>
                <w:rFonts w:ascii="Times New Roman" w:eastAsia="Times New Roman" w:hAnsi="Times New Roman" w:cs="Times New Roman"/>
                <w:sz w:val="24"/>
                <w:szCs w:val="24"/>
                <w:lang w:eastAsia="tr-TR"/>
              </w:rPr>
            </w:pPr>
            <w:r w:rsidRPr="000371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t>Sayı : 29935 </w:t>
            </w:r>
            <w:r w:rsidRPr="00037115">
              <w:rPr>
                <w:rFonts w:ascii="Arial" w:eastAsia="Times New Roman" w:hAnsi="Arial" w:cs="Arial"/>
                <w:b/>
                <w:bCs/>
                <w:sz w:val="16"/>
                <w:szCs w:val="16"/>
                <w:lang w:eastAsia="tr-TR"/>
              </w:rPr>
              <w:t>(3. Mükerrer)</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TEBLİĞ</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after="0" w:line="240" w:lineRule="atLeast"/>
              <w:ind w:firstLine="566"/>
              <w:jc w:val="both"/>
              <w:rPr>
                <w:rFonts w:ascii="Times New Roman" w:eastAsia="Times New Roman" w:hAnsi="Times New Roman" w:cs="Times New Roman"/>
                <w:u w:val="single"/>
                <w:lang w:eastAsia="tr-TR"/>
              </w:rPr>
            </w:pPr>
            <w:r w:rsidRPr="00037115">
              <w:rPr>
                <w:rFonts w:ascii="Times New Roman" w:eastAsia="Times New Roman" w:hAnsi="Times New Roman" w:cs="Times New Roman"/>
                <w:sz w:val="18"/>
                <w:szCs w:val="18"/>
                <w:u w:val="single"/>
                <w:lang w:eastAsia="tr-TR"/>
              </w:rPr>
              <w:t>Maliye Bakanlığı (Gelir İdaresi Başkanlığı)’</w:t>
            </w:r>
            <w:proofErr w:type="spellStart"/>
            <w:r w:rsidRPr="00037115">
              <w:rPr>
                <w:rFonts w:ascii="Times New Roman" w:eastAsia="Times New Roman" w:hAnsi="Times New Roman" w:cs="Times New Roman"/>
                <w:sz w:val="18"/>
                <w:szCs w:val="18"/>
                <w:u w:val="single"/>
                <w:lang w:eastAsia="tr-TR"/>
              </w:rPr>
              <w:t>ndan</w:t>
            </w:r>
            <w:proofErr w:type="spellEnd"/>
            <w:r w:rsidRPr="00037115">
              <w:rPr>
                <w:rFonts w:ascii="Times New Roman" w:eastAsia="Times New Roman" w:hAnsi="Times New Roman" w:cs="Times New Roman"/>
                <w:sz w:val="18"/>
                <w:szCs w:val="18"/>
                <w:u w:val="single"/>
                <w:lang w:eastAsia="tr-TR"/>
              </w:rPr>
              <w:t>:</w:t>
            </w:r>
          </w:p>
          <w:p w:rsidR="00037115" w:rsidRPr="00037115" w:rsidRDefault="00037115" w:rsidP="00037115">
            <w:pPr>
              <w:spacing w:before="56"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KURUMLAR VERGİSİ GENEL TEBLİĞİ (SERİ NO: 1)’NDE</w:t>
            </w:r>
          </w:p>
          <w:p w:rsidR="00037115" w:rsidRPr="00037115" w:rsidRDefault="00037115" w:rsidP="00037115">
            <w:pPr>
              <w:spacing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DEĞİŞİKLİK YAPILMASINA DAİR TEBLİĞ</w:t>
            </w:r>
          </w:p>
          <w:p w:rsidR="00037115" w:rsidRPr="00037115" w:rsidRDefault="00037115" w:rsidP="00037115">
            <w:pPr>
              <w:spacing w:after="17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(SERİ NO: 11)</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 – </w:t>
            </w:r>
            <w:r w:rsidRPr="00037115">
              <w:rPr>
                <w:rFonts w:ascii="Times New Roman" w:eastAsia="Times New Roman" w:hAnsi="Times New Roman" w:cs="Times New Roman"/>
                <w:sz w:val="18"/>
                <w:szCs w:val="18"/>
                <w:lang w:eastAsia="tr-TR"/>
              </w:rPr>
              <w:t xml:space="preserve">3/4/2007 tarihli ve 26482 sayılı Resmî </w:t>
            </w:r>
            <w:proofErr w:type="spellStart"/>
            <w:r w:rsidRPr="00037115">
              <w:rPr>
                <w:rFonts w:ascii="Times New Roman" w:eastAsia="Times New Roman" w:hAnsi="Times New Roman" w:cs="Times New Roman"/>
                <w:sz w:val="18"/>
                <w:szCs w:val="18"/>
                <w:lang w:eastAsia="tr-TR"/>
              </w:rPr>
              <w:t>Gazete’de</w:t>
            </w:r>
            <w:proofErr w:type="spellEnd"/>
            <w:r w:rsidRPr="00037115">
              <w:rPr>
                <w:rFonts w:ascii="Times New Roman" w:eastAsia="Times New Roman" w:hAnsi="Times New Roman" w:cs="Times New Roman"/>
                <w:sz w:val="18"/>
                <w:szCs w:val="18"/>
                <w:lang w:eastAsia="tr-TR"/>
              </w:rPr>
              <w:t xml:space="preserve"> yayımlanan Kurumlar Vergisi Genel Tebliği (Seri No: 1)’</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“4.16. Organize sanayi bölgeleri ile küçük sanayi sitelerine ait iktisadi işletmeler” başlıklı bölümünden sonra gelmek üzere aşağıdaki bölüm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4.17. 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15/7/2016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 Muafiyet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Ekonomi Bakanlığından alınan izne istinaden kurulmaları,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Tüm giderlerinin kanuni ve iş merkezi Türkiye’de bulunmayan kurumlar tarafından karşılanması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 konusu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kaydıyla kurumlar vergisinden muaf olacaklardır.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tam veya dar mükellefiyete tabi herhangi bir kurumun, bölgesel yönetim merkezinin yönetimi altında bulunması muafiyet hükmünün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4.17.1.1. Ekonomi Bakanlığından alınan izne istinaden kurulma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5/6/2003 tarihli ve 4875 sayılı Doğrudan Yabancı Yatırımlar Kanunu kapsamına giren konularda uygulanacak usul ve esasları belirlemek amacıyla 20/8/2003 tarihli ve 25205 sayılı Resmî </w:t>
            </w:r>
            <w:proofErr w:type="spellStart"/>
            <w:r w:rsidRPr="00037115">
              <w:rPr>
                <w:rFonts w:ascii="Times New Roman" w:eastAsia="Times New Roman" w:hAnsi="Times New Roman" w:cs="Times New Roman"/>
                <w:sz w:val="18"/>
                <w:szCs w:val="18"/>
                <w:lang w:eastAsia="tr-TR"/>
              </w:rPr>
              <w:t>Gazete’de</w:t>
            </w:r>
            <w:proofErr w:type="spellEnd"/>
            <w:r w:rsidRPr="00037115">
              <w:rPr>
                <w:rFonts w:ascii="Times New Roman" w:eastAsia="Times New Roman" w:hAnsi="Times New Roman" w:cs="Times New Roman"/>
                <w:sz w:val="18"/>
                <w:szCs w:val="18"/>
                <w:lang w:eastAsia="tr-TR"/>
              </w:rPr>
              <w:t xml:space="preserve"> yayımlanan Doğrudan Yabancı Yatırımlar Kanunu Uygulama Yönetmeliğine göre bölgesel yönetim merkezleri, yabancı şirketin, diğer ülkelerdeki birimlerine yönelik olarak;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Yatırım ve yönetim stratejilerinin oluşturulması,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Tanıtım,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 sonrası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Marka yönetimi,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Finansal yönetim,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Teknik destek,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Ar-Ge,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Dış tedarik,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Yeni geliştirilen ürünlerin test edilmesi,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Laboratuvar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Çalışanların eğitimi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faaliyetlere ilişkin koordinasyon ve yönetim hizmetlerinin sağlanması alanlarında hizmet vermek amacıyla kurulabilmektedir.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4.17.1.2. Tüm giderlerinin kanuni ve iş merkezi Türkiye’de bulunmayan kurumlar tarafından karşılanması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muafiyetten yararlanabilmeleri için, tüm giderlerinin kanuni ve iş merkezi Türkiye’de bulunmayan kurumlar tarafından karşılanması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4.17.1.3.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giderlerinin, Türkiye’de tam veya dar mükellefiyete tabi herhangi bir kurumun hesaplarına intikal ettirilmemesi veya kârından ayrılmaması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kurumlar vergisi matrahının tespitinde gider olarak dikkate alınması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4.17.2. Muafiyetten yararlanacaklar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 –</w:t>
            </w:r>
            <w:r w:rsidRPr="00037115">
              <w:rPr>
                <w:rFonts w:ascii="Times New Roman" w:eastAsia="Times New Roman" w:hAnsi="Times New Roman" w:cs="Times New Roman"/>
                <w:sz w:val="18"/>
                <w:szCs w:val="18"/>
                <w:lang w:eastAsia="tr-TR"/>
              </w:rPr>
              <w:t> Aynı Tebliğin “5.6.2. Kurumlar Vergisi Kanununun yayım tarihinden sonra gerçekleşen satış işlemlerinde istisna uygulaması” başlıklı bölümünün ikinci paragrafı ile “5.6.2.3.1. İki tam yıl süre ile aktifte bulundurulma” başlıklı bölümünün üçüncü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3 –</w:t>
            </w:r>
            <w:r w:rsidRPr="00037115">
              <w:rPr>
                <w:rFonts w:ascii="Times New Roman" w:eastAsia="Times New Roman" w:hAnsi="Times New Roman" w:cs="Times New Roman"/>
                <w:sz w:val="18"/>
                <w:szCs w:val="18"/>
                <w:lang w:eastAsia="tr-TR"/>
              </w:rPr>
              <w:t> Aynı Tebliğin “5.6.2.3.1.4. Aynı kuruma ait iştirak hisselerinin iktisabında 2 yıllık sürenin tespiti”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5.6.2.3.1.5. Sat-kirala-geri al işlemine veya kira sertifikası ihracına konu edilen taşınmazların üçüncü kişilere satışında 2 yıllık sürenin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21/11/2012 tarihli ve 6361 sayılı Finansal Kiralama, </w:t>
            </w:r>
            <w:proofErr w:type="spellStart"/>
            <w:r w:rsidRPr="00037115">
              <w:rPr>
                <w:rFonts w:ascii="Times New Roman" w:eastAsia="Times New Roman" w:hAnsi="Times New Roman" w:cs="Times New Roman"/>
                <w:sz w:val="18"/>
                <w:szCs w:val="18"/>
                <w:lang w:eastAsia="tr-TR"/>
              </w:rPr>
              <w:t>Faktoring</w:t>
            </w:r>
            <w:proofErr w:type="spellEnd"/>
            <w:r w:rsidRPr="00037115">
              <w:rPr>
                <w:rFonts w:ascii="Times New Roman" w:eastAsia="Times New Roman" w:hAnsi="Times New Roman" w:cs="Times New Roman"/>
                <w:sz w:val="18"/>
                <w:szCs w:val="18"/>
                <w:lang w:eastAsia="tr-TR"/>
              </w:rPr>
              <w:t> ve Finansman Şirketleri Kanunu kapsamında geri kiralama amacıyla ve sözleşme sonunda geri alınması şartıyla, kurumlar 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Aynı şekilde, 6/12/2012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6/6/2016 tarihinde iktisap ederek aktifine aldığı taşınmazı, şirketin finansman ihtiyacı dolayısıyla 23/9/2016 tarihinde (B) Kalkınma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kiralama amacıyla ve sözleşme sonunda geri alınması şartıyla devredilmiştir. (B) Kalkınma Bankası A.Ş. bu taşınmazı 7 yıllığına (A)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kiralamıştır. (B) Kalkınma Bankası A.Ş. sözleşme süresi sonunda bu taşınmazı 25/9/2023 tarihinde (A)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 bu taşınmazını 8/12/2023 tarihinde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6/6/2016 tarihinde iktisap etmiş olduğu taşınmazın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satışında istisna uygulanırken, 2 tam yıl aktifte yer alma şartının sağlanıp sağlanamadığının tespitinde bu taşınmazın (B) Kalkınma Bankası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aktifinde bulunduğu süre de dikkate alınacaktır. Buna göre, (A)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finansman temini amacıyla sat-kirala-geri al işlemine konu ettiği taşınmazını 8/12/2023 tarihinde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satışında istisna uygulaması açısından iki tam yıllık aktifte yer alma şartının sağlanıp sağlanamadığının tespitinde 6/6/2016 ile 8/12/2023 tarihleri arasındaki süre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4 –</w:t>
            </w:r>
            <w:r w:rsidRPr="00037115">
              <w:rPr>
                <w:rFonts w:ascii="Times New Roman" w:eastAsia="Times New Roman" w:hAnsi="Times New Roman" w:cs="Times New Roman"/>
                <w:sz w:val="18"/>
                <w:szCs w:val="18"/>
                <w:lang w:eastAsia="tr-TR"/>
              </w:rPr>
              <w:t> Aynı Tebliğin “5.10. Eğitim tesisleri ile rehabilitasyon merkezlerinin işletilmesinden elde edilen kazançlara ilişkin istisna” bölümünün başlığı, “5.10. Eğitim tesisleri, özel kreş ve gündüz bakımevleri ile rehabilitasyon merkezlerinin işletilmesinden elde edilen kazançlara ilişkin istisna”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5 –</w:t>
            </w:r>
            <w:r w:rsidRPr="00037115">
              <w:rPr>
                <w:rFonts w:ascii="Times New Roman" w:eastAsia="Times New Roman" w:hAnsi="Times New Roman" w:cs="Times New Roman"/>
                <w:sz w:val="18"/>
                <w:szCs w:val="18"/>
                <w:lang w:eastAsia="tr-TR"/>
              </w:rPr>
              <w:t> Aynı Tebliğin “5.10.1. İstisnanın kapsamı” başlıklı bölümünde yer alan,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“- 625 sayılı Özel Öğretim Kurumları Kanunu kapsamında yer alan okul öncesi eğitim, ilköğretim, özel eğitim ve orta öğretim özel okullarının işletilmesinden elde edilen kazançlar ile”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“- 633 sayılı Aile ve Sosyal Politikalar Bakanlığının Teşkilat ve Görevleri Hakkında Kanun Hükmünde Kararname kapsamında yer alan özel kreş ve gündüz bakımevlerinin işletilmesinden elde edilen kazançlar ve” ibaresi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w:t>
            </w:r>
            <w:r w:rsidRPr="00037115">
              <w:rPr>
                <w:rFonts w:ascii="Times New Roman" w:eastAsia="Times New Roman" w:hAnsi="Times New Roman" w:cs="Times New Roman"/>
                <w:b/>
                <w:bCs/>
                <w:sz w:val="18"/>
                <w:szCs w:val="18"/>
                <w:lang w:eastAsia="tr-TR"/>
              </w:rPr>
              <w:t>Özel Eğitim Okulları,</w:t>
            </w:r>
            <w:r w:rsidRPr="00037115">
              <w:rPr>
                <w:rFonts w:ascii="Times New Roman" w:eastAsia="Times New Roman" w:hAnsi="Times New Roman" w:cs="Times New Roman"/>
                <w:sz w:val="18"/>
                <w:szCs w:val="18"/>
                <w:lang w:eastAsia="tr-TR"/>
              </w:rPr>
              <w:t> engelliler için açılan okul öncesi, ilköğretim ve ortaöğretim okullarını,”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Kreş, </w:t>
            </w:r>
            <w:r w:rsidRPr="00037115">
              <w:rPr>
                <w:rFonts w:ascii="Times New Roman" w:eastAsia="Times New Roman" w:hAnsi="Times New Roman" w:cs="Times New Roman"/>
                <w:sz w:val="18"/>
                <w:szCs w:val="18"/>
                <w:lang w:eastAsia="tr-TR"/>
              </w:rPr>
              <w:t>633 sayılı Kanun Hükmünde Kararname ve ilgili mevzuat çerçevesinde kurulan ve 0-24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Gündüz Bakımevi,</w:t>
            </w:r>
            <w:r w:rsidRPr="00037115">
              <w:rPr>
                <w:rFonts w:ascii="Times New Roman" w:eastAsia="Times New Roman" w:hAnsi="Times New Roman" w:cs="Times New Roman"/>
                <w:sz w:val="18"/>
                <w:szCs w:val="18"/>
                <w:lang w:eastAsia="tr-TR"/>
              </w:rPr>
              <w:t> 633 sayılı Kanun Hükmünde Kararname ve ilgili mevzuat çerçevesinde kurulan ve 25-66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ibareleri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Aynı bölümün üçüncü paragrafı,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okulların eğitim-öğretim, merkezlerin rehabilitasyon faaliyetlerinden, kreş ve gündüz bakımevlerinin ise bu hizmetlerinden elde edilen kazançlarına uygulanacaktır. Dolayısıyla, eğitim tesisleri, kreş ve gündüz bakımevleri ile rehabilitasyon merkezlerinde yer alan büfe, kantin, kafeterya, kitap satış yeri gibi tesislerin gerek bizzat işletilmesinden gerekse kiraya verilmesinden elde edilen kazançlara istisna uygulanması söz konusu değildir. Yemek ve konaklama hizmetlerinin okul, kreş ve gündüz bakımevi bünyesinde verildiği ve bu hizmetlere ilişkin bedelin okul, kreş ve gündüz bakımevi ücretine </w:t>
            </w:r>
            <w:proofErr w:type="spellStart"/>
            <w:r w:rsidRPr="00037115">
              <w:rPr>
                <w:rFonts w:ascii="Times New Roman" w:eastAsia="Times New Roman" w:hAnsi="Times New Roman" w:cs="Times New Roman"/>
                <w:sz w:val="18"/>
                <w:szCs w:val="18"/>
                <w:lang w:eastAsia="tr-TR"/>
              </w:rPr>
              <w:t>dahilolduğu</w:t>
            </w:r>
            <w:proofErr w:type="spellEnd"/>
            <w:r w:rsidRPr="00037115">
              <w:rPr>
                <w:rFonts w:ascii="Times New Roman" w:eastAsia="Times New Roman" w:hAnsi="Times New Roman" w:cs="Times New Roman"/>
                <w:sz w:val="18"/>
                <w:szCs w:val="18"/>
                <w:lang w:eastAsia="tr-TR"/>
              </w:rPr>
              <w:t xml:space="preserve"> durumlarda, elde edilen kazanç herhangi bir ayrıma tabi tutulmaksızın istisna uygulamasına konu olacak olup yemek hizmetinin dışarıdan satın alınması istisna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6 –</w:t>
            </w:r>
            <w:r w:rsidRPr="00037115">
              <w:rPr>
                <w:rFonts w:ascii="Times New Roman" w:eastAsia="Times New Roman" w:hAnsi="Times New Roman" w:cs="Times New Roman"/>
                <w:sz w:val="18"/>
                <w:szCs w:val="18"/>
                <w:lang w:eastAsia="tr-TR"/>
              </w:rPr>
              <w:t> Aynı Tebliğin “5.10.2.1. Eğitim-öğretim kazançlarına ilişkin istisna” başlıklı bölümünün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Milli Eğitim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7 –</w:t>
            </w:r>
            <w:r w:rsidRPr="00037115">
              <w:rPr>
                <w:rFonts w:ascii="Times New Roman" w:eastAsia="Times New Roman" w:hAnsi="Times New Roman" w:cs="Times New Roman"/>
                <w:sz w:val="18"/>
                <w:szCs w:val="18"/>
                <w:lang w:eastAsia="tr-TR"/>
              </w:rPr>
              <w:t> Aynı Tebliğin “5.10.2.2. Rehabilitasyon merkezlerine ilişkin istisna” başlıklı bölümün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“Bakanlar Kurulunca vergi muafiyeti tanınan vakıflar ile kamu yararına çalışan dernekler ilgili Bakanlıkça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8 –</w:t>
            </w:r>
            <w:r w:rsidRPr="00037115">
              <w:rPr>
                <w:rFonts w:ascii="Times New Roman" w:eastAsia="Times New Roman" w:hAnsi="Times New Roman" w:cs="Times New Roman"/>
                <w:sz w:val="18"/>
                <w:szCs w:val="18"/>
                <w:lang w:eastAsia="tr-TR"/>
              </w:rPr>
              <w:t> Aynı Tebliğin “5.10.2.2. Rehabilitasyon merkezlerine ilişkin istisna”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5.10.2.3. Kreş ve gündüz bakımevlerine ilişkin istisna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bakımevlerinin söz konusu istisnadan yararlanabilmesi için bu kurumların 1/1/2017 tarihinden itibaren faaliyete geçmiş olmaları gerekmektedir. Bu tarihten önce faaliyete geçen kreş ve gündüz bakımevlerinin işletilmesinden doğan kazançlar için anılan istisnadan yararlanılması mümkün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9 –</w:t>
            </w:r>
            <w:r w:rsidRPr="00037115">
              <w:rPr>
                <w:rFonts w:ascii="Times New Roman" w:eastAsia="Times New Roman" w:hAnsi="Times New Roman" w:cs="Times New Roman"/>
                <w:sz w:val="18"/>
                <w:szCs w:val="18"/>
                <w:lang w:eastAsia="tr-TR"/>
              </w:rPr>
              <w:t> Aynı Tebliğin “5.10.3. İstisnanın süresi” başlıklı bölümünün ikinci paragrafından sonra gelmek üzere aşağıdaki paragraf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bakımevlerine ilişkin düzenleme ise 1/1/2017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10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“5.10.4. İstisna süresi içinde yeni okul veya merkez yapılması” bölümünün başlığı, “5.10.4. İstisna süresi içinde yeni okul, kreş ve gündüz bakımevi veya merkez yapılması” şeklinde değiştirilmiş, bu bölümün ilk paragrafına birinci cümlesinden sonra gelmek üzere,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cümlesi eklenmiş ve anılan paragrafın son cümlesi, “Diğer bir ifadeyle, istisna uygulaması okul, kreş ve gündüz bakımevi veya merkez bazında yapılacaktır.”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Anılan bölümün son paragrafına, “Aynı şekilde, 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 cümlesi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11 – </w:t>
            </w:r>
            <w:r w:rsidRPr="00037115">
              <w:rPr>
                <w:rFonts w:ascii="Times New Roman" w:eastAsia="Times New Roman" w:hAnsi="Times New Roman" w:cs="Times New Roman"/>
                <w:sz w:val="18"/>
                <w:szCs w:val="18"/>
                <w:lang w:eastAsia="tr-TR"/>
              </w:rPr>
              <w:t>Aynı Tebliğin “5.14.3.4. Değerleme raporu düzenlenmesi” başlıklı alt bölümü başlığıyla birlikte Tebliğ metninden çıkarılmış ve sonraki alt bölüm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12 – </w:t>
            </w:r>
            <w:r w:rsidRPr="00037115">
              <w:rPr>
                <w:rFonts w:ascii="Times New Roman" w:eastAsia="Times New Roman" w:hAnsi="Times New Roman" w:cs="Times New Roman"/>
                <w:sz w:val="18"/>
                <w:szCs w:val="18"/>
                <w:lang w:eastAsia="tr-TR"/>
              </w:rPr>
              <w:t>Aynı Tebliğin “5.14.4. İstisna uygulaması”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5.14.4.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patentli veya faydalı model belgeli buluşlarından 1/1/2015 tarihinden itibaren elde ettikleri kazanç ve iratları için ilgili patent veya faydalı model belgesine sağlanan koruma süresi aşılmamak kaydıyla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buluşun, istisnadan yararlanılacak ilk yıl oluşturacağı katma değer dikkate alınarak devri veya satışı halindeki değerinin tespitine yönelik Maliye Bakanlığı tarafından değerleme raporu düzenlenmesi şartına ilişkin Kanunun 5/B maddesinin ikinci fıkrasının (c) bendi hükmü,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ile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Dolayısıyla, 6728 sayılı Kanunun yürürlük tarihi olan 9/8/2016 tarihinden itibaren, Maliye Bakanlığı tarafından değerleme raporu düzenlenmeksizin, şartları taşıyan mükellefler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5.14.4.1. 9/8/2016 tarihinden önce değerleme raporu düzenlenmesi amacıyla başvuranların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uygulamasında Maliye Bakanlığı tarafından değerleme raporu düzenlenmesi şartına ilişkin Kanunun 5/B maddesinin ikinci fıkrasının (c) bendi hükmü,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ile yürürlükten kaldırılmıştır. Ayrıca 6728 sayılı Kanunun geçici 1 inci maddesinin üçüncü fıkrasında;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1/1/2015 tarihinden itibaren elde ettikleri kazançları hakkında, 5520 sayılı Kanunun 5/B maddesinin bu Kanunla yapılan değişiklik sonrası hükümleri uygulanır.”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hükmü yer almaktadır.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anılan her iki maddenin de yürürlüğe girdiği 9/8/2016 tarihinden önce, Kanunun 5/B maddesi kapsamında istisnadan yararlanmak üzere değerleme raporu düzenlenmesi amacıyla Gelir İdaresi Başkanlığına başvuruda bulunmuş olan mükellefler, başvurularına konu bu buluşlarından 1/1/2015 tarihinden itibaren elde ettikleri kazançları için değerleme raporu düzenlenmeksizin istisnadan faydalanabileceklerdir.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 İstisna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Patentli veya faydalı model belgeli buluşlardan elde edilen kazançların %50'si kurumlar vergisinden müstesnadır.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(B)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6/5/2013 tarihinde TPE’ye yapmış olduğu başvuruya istinaden, bu başvurusuna konu buluşuna ilişkin patent 6/7/2015 tarihinde tescil edilmiştir. (B) A.Ş. söz konusu patentten doğan tüm haklarını 20/9/2016 tarihinde 5.000.000.- TL'ye (C)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4.000.000.- TL kâr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A.Ş. bu patentin kullanım haklarını, 2/1/2017 tarihinde iki yıl süre ile (E) Ltd. </w:t>
            </w:r>
            <w:proofErr w:type="spellStart"/>
            <w:r w:rsidRPr="00037115">
              <w:rPr>
                <w:rFonts w:ascii="Times New Roman" w:eastAsia="Times New Roman" w:hAnsi="Times New Roman" w:cs="Times New Roman"/>
                <w:sz w:val="18"/>
                <w:szCs w:val="18"/>
                <w:lang w:eastAsia="tr-TR"/>
              </w:rPr>
              <w:t>Şti.'ye</w:t>
            </w:r>
            <w:proofErr w:type="spellEnd"/>
            <w:r w:rsidRPr="00037115">
              <w:rPr>
                <w:rFonts w:ascii="Times New Roman" w:eastAsia="Times New Roman" w:hAnsi="Times New Roman" w:cs="Times New Roman"/>
                <w:sz w:val="18"/>
                <w:szCs w:val="18"/>
                <w:lang w:eastAsia="tr-TR"/>
              </w:rPr>
              <w:t> </w:t>
            </w:r>
            <w:proofErr w:type="spellStart"/>
            <w:r w:rsidRPr="00037115">
              <w:rPr>
                <w:rFonts w:ascii="Times New Roman" w:eastAsia="Times New Roman" w:hAnsi="Times New Roman" w:cs="Times New Roman"/>
                <w:sz w:val="18"/>
                <w:szCs w:val="18"/>
                <w:lang w:eastAsia="tr-TR"/>
              </w:rPr>
              <w:t>inhisari</w:t>
            </w:r>
            <w:proofErr w:type="spellEnd"/>
            <w:r w:rsidRPr="00037115">
              <w:rPr>
                <w:rFonts w:ascii="Times New Roman" w:eastAsia="Times New Roman" w:hAnsi="Times New Roman" w:cs="Times New Roman"/>
                <w:sz w:val="18"/>
                <w:szCs w:val="18"/>
                <w:lang w:eastAsia="tr-TR"/>
              </w:rPr>
              <w:t> lisans sözleşmesiyle vererek 2017 hesap döneminde 1.000.000.- TL, 2018 hesap döneminde ise 500.000.-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de söz konusu patente konu buluşu seri üretime tabi tutarak 2017 hesap döneminde 2.000.000.- TL, 2018 hesap döneminde ise 1.000.000.-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satış kazancının yarısı (4.000.000.- TL x %50) 2.000.000.- TL olup bu tutarın tamamı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(C) A.Ş. 2017 hesap dönemi için (1.000.000.- TL x %50) 500.000.-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(500.000.- TL x %50) 250.000.-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 A.Ş. 2017 hesap dönemi için (2.000.000.- TL x %50) 1.000.000.-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(1.000.000.- TL x %50) 500.000.-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(F) A.Ş. incelemesiz sistemle patent aldığı ve 7 yıllık koruma süresi 1/4/2018 tarihinde sona erecek buluşu için incelemeli sistemle patent verilmesi talebiyle 6/5/2015 tarihinde TPE'ye başvurmuştur. Başvurusu uygun görülen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buluşu için 2/2/2017 tarihinde, 1/4/2031 tarihinde koruma süresi sona ermek üzere incelemeli sistemle patent verilmiştir.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(F) A.Ş. sahibi olduğu patenti 14/8/2015 tarihinde 1 yıllığına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1.000.000.- TL bedelle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 2018 yılında patente konu bu buluşunu seri üretime tabi tutarak 2.000.000.-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(F) A.Ş. söz konusu patenti 5/5/2019 tarihinde (H)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1.800.000.-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(H) A.Ş. ise aynı patenti iki ay sonra (5/7/2019) (K)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400.000.-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söz konusu buluşu seri üretime tabi tutarak 2020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sahip olduğu incelemesiz patenti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kiralaması nedeniyle elde ettiği 1.000.000.- TL tutarındaki kazancı istisnaya konu edilemeyecektir.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incelemeli sistemle patent aldığı buluşunu seri üretime tabi tutarak elde ettiği 2.000.000.- TL'lik kazancın %50'si (1.000.000.- TL) kurumlar vergisinden istisna edilebilecektir. Bu patentin satışından elde edilen 1.800.000.- TL'lik kazancın %50'si olan 900.000.- TL için de bu istisnadan faydalanılabilecektir.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(H) A.Ş. ise satın aldığı patentin (K)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elde ettiği 400.000.- TL tutarındaki kazancının %50'sini (200.000.- TL)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buluşu seri üretime tabi tutarak elde ettiği 3.000.000.- TL tutarındaki kazancının %50'si olan 1.500.000.- TL'lik tutarı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5.14.4.2.1. Buluşun üretim sürecinde kullanılması halinde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Öte yandan, maddenin yedinci fıkrası hükmüyle, üçüncü fıkrada yer alan transfer fiyatlandırması suretiyle ayrıştırma yöntemi yerine satış, hasılat, gider, harcama, maliyet veya benzeri unsurları dikkate alarak kazancın ayrıştırılmasında basitleştirilmiş yöntemler tespit etmeye Maliye Bakanlığı yetkili kılınmıştır. Bu kapsamda, patentli veya faydalı model </w:t>
            </w:r>
            <w:r w:rsidRPr="00037115">
              <w:rPr>
                <w:rFonts w:ascii="Times New Roman" w:eastAsia="Times New Roman" w:hAnsi="Times New Roman" w:cs="Times New Roman"/>
                <w:sz w:val="18"/>
                <w:szCs w:val="18"/>
                <w:lang w:eastAsia="tr-TR"/>
              </w:rPr>
              <w:lastRenderedPageBreak/>
              <w:t>belgeli buluşunu üretim sürecinde kullanan mükelleflerin tercih etmeleri halinde, ürettikleri ürünlerin satışından elde ettikleri kazançlarının patentli veya faydalı model belgeli buluşa atfedilen kısmını, maliyet unsurlarını dikkate alarak ayrıştırmaları mümkündür.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Buluşun üretim sürecinde kullanılması sonucu üretilen ürünlerin satışından elde edilen kazançların, patentli veya faydalı model belgeli buluşa atfedilen kısmının maliyet unsurları dikkate alınarak ayrıştırılmasında, buluşla ilgili maliyetlerin buluşun üretim sürecinde kullanılması sonucu üretilen ürünlerin toplam maliyeti içerisindeki payı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amortismanlar ile üretim sürecinde kullanılması nedeniyle buluşa ilişkin olarak katlanılan;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İlk madde ve malzeme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İşçilik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üretim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yönetim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giderler dikkate alınmak suretiyle buluşla ilgili katlanılan maliyetler hesaplanacak ve buluşla ilgili maliyetlerin üretilen ürünlerin toplam maliyeti içerisindeki payı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(T)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patentle korunan buluşunu üretim sürecinde kullanarak 2017 yılında ürettiği çamaşır makinelerinin toplam üretim maliyeti 20.000.000.- TL’dir. Söz konusu çamaşır makinelerinin toplam maliyetinin 2.000.000.- TL’lik kısmını patentle korunan buluşun üretim sürecinde kullanılması nedeniyle katlanılan maliyetler oluşturmaktadır.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 A.Ş. ürettiği bu çamaşır makinelerinin satışından 2017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(T)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2017 yılında bu çamaşır makinelerinin satışından elde ettiği kazancının, üretimde kullanılan ve patentle korunan buluşuna atfedilebilecek kısmı [3.000.000.- TL x (2.000.000.- TL / 20.000.000.- TL)=] 300.000.- TL olup bu kazancının %50’lik kısmı olan (300.000.- TL x %50) 150.000.- TL istisna uygulamasında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5.14.4.3. Kesinti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patent veya faydalı model belgesi alınan buluş dolayısıyla elde edilen kazanç ve iratlar üzerinden vergi kesintisi yapılmasına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16/8/2016tarihinde buluşu Türkiye’deki üretim faaliyetlerinde kullanacak olan (ÇB) Ltd. </w:t>
            </w:r>
            <w:proofErr w:type="spellStart"/>
            <w:r w:rsidRPr="00037115">
              <w:rPr>
                <w:rFonts w:ascii="Times New Roman" w:eastAsia="Times New Roman" w:hAnsi="Times New Roman" w:cs="Times New Roman"/>
                <w:sz w:val="18"/>
                <w:szCs w:val="18"/>
                <w:lang w:eastAsia="tr-TR"/>
              </w:rPr>
              <w:t>Şti.’ye</w:t>
            </w:r>
            <w:proofErr w:type="spellEnd"/>
            <w:r w:rsidRPr="00037115">
              <w:rPr>
                <w:rFonts w:ascii="Times New Roman" w:eastAsia="Times New Roman" w:hAnsi="Times New Roman" w:cs="Times New Roman"/>
                <w:sz w:val="18"/>
                <w:szCs w:val="18"/>
                <w:lang w:eastAsia="tr-TR"/>
              </w:rPr>
              <w:t> üç yıllığına </w:t>
            </w:r>
            <w:proofErr w:type="spellStart"/>
            <w:r w:rsidRPr="00037115">
              <w:rPr>
                <w:rFonts w:ascii="Times New Roman" w:eastAsia="Times New Roman" w:hAnsi="Times New Roman" w:cs="Times New Roman"/>
                <w:sz w:val="18"/>
                <w:szCs w:val="18"/>
                <w:lang w:eastAsia="tr-TR"/>
              </w:rPr>
              <w:t>inhisari</w:t>
            </w:r>
            <w:proofErr w:type="spellEnd"/>
            <w:r w:rsidRPr="00037115">
              <w:rPr>
                <w:rFonts w:ascii="Times New Roman" w:eastAsia="Times New Roman" w:hAnsi="Times New Roman" w:cs="Times New Roman"/>
                <w:sz w:val="18"/>
                <w:szCs w:val="18"/>
                <w:lang w:eastAsia="tr-TR"/>
              </w:rPr>
              <w:t> lisansla vermiştir.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kiralama nedeniyle dar mükellef (HS) firmasına yapılacak kira ödemeleri üzerinden Kanunun 30 uncu maddesinin birinci fıkrası uyarınca %20 oranında yapılacak kesinti, %50 indirimli olarak %10 oranında uygulanacaktır. Söz konusu indirimli oran en fazla 5 yıl süreyle uygulanabilecektir.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xml:space="preserve"> Serbest meslek erbabı (MF), Türkiye’de gerçekleştirdiği faaliyetleri neticesinde ortaya çıkan buluşunun patentini 1/6/2015 tarihinde tescil ettirmiş ve patent üzerindeki hakkını 25/10/2016 tarihinde (MT)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 TL’ye satmıştır. (MT) A.Ş. Gelir Vergisi Kanununun 18 inci maddesi kapsamında istisnadan faydalanan serbest meslek erbabı (MF)’ye yapacağı ödemelerin tamamı (100.000.- TL) üzerinden, Gelir Vergisi Kanununun 94 üncü maddesi uyarınca belirlenen kesinti oranının %50’si nispetinde gelir vergisi kesintisi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3:</w:t>
            </w:r>
            <w:r w:rsidRPr="00037115">
              <w:rPr>
                <w:rFonts w:ascii="Times New Roman" w:eastAsia="Times New Roman" w:hAnsi="Times New Roman" w:cs="Times New Roman"/>
                <w:sz w:val="18"/>
                <w:szCs w:val="18"/>
                <w:lang w:eastAsia="tr-TR"/>
              </w:rPr>
              <w:t xml:space="preserve"> Tam mükellef Bay (T), Türkiye’de gerçekleştirdiği araştırma ve geliştirme faaliyetleri neticesinde ortaya çıkan buluşunun patentini tescil ettirerek beyana tabi bir kazancı olmayan (U) gerçek kişisine satmış; (U) gerçek kişisi de bu patenti 23/11/2016 tarihinde (Z)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yıllık 10.000.- TL bedel üzerinden 8 yıllığına kiralamıştır. (Z) A.Ş. (U) gerçek kişisine yapacağı kira ödemelerinde, şartların sağlanmış olması halinde, 5 yıl boyunca gelir vergisi kesintisi oranını %50 indirimli olarak uygulayacaktır. İndirimli vergi kesintisi en fazla 5 yıl süre ile uygulanacağından (Z) A.Ş. kira süresinin son 3 yılına ilişkin kira ödemelerinden normal oranda kesinti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13 –</w:t>
            </w:r>
            <w:r w:rsidRPr="00037115">
              <w:rPr>
                <w:rFonts w:ascii="Times New Roman" w:eastAsia="Times New Roman" w:hAnsi="Times New Roman" w:cs="Times New Roman"/>
                <w:sz w:val="18"/>
                <w:szCs w:val="18"/>
                <w:lang w:eastAsia="tr-TR"/>
              </w:rPr>
              <w:t> Aynı Tebliğin “5.14.5.1. 1/1/2015 tarihinden önce tescil edilmiş patentli veya faydalı model belgeli buluşların durumu” başlıklı bölümünün son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14 –</w:t>
            </w:r>
            <w:r w:rsidRPr="00037115">
              <w:rPr>
                <w:rFonts w:ascii="Times New Roman" w:eastAsia="Times New Roman" w:hAnsi="Times New Roman" w:cs="Times New Roman"/>
                <w:sz w:val="18"/>
                <w:szCs w:val="18"/>
                <w:lang w:eastAsia="tr-TR"/>
              </w:rPr>
              <w:t> Aynı Tebliğin “5.14.5.5. Yeminli mali müşavirlerin sorumluluğu” başlıklı bölümü Tebliğ metninden çıkarılmış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15 –</w:t>
            </w:r>
            <w:r w:rsidRPr="00037115">
              <w:rPr>
                <w:rFonts w:ascii="Times New Roman" w:eastAsia="Times New Roman" w:hAnsi="Times New Roman" w:cs="Times New Roman"/>
                <w:sz w:val="18"/>
                <w:szCs w:val="18"/>
                <w:lang w:eastAsia="tr-TR"/>
              </w:rPr>
              <w:t> Aynı Tebliğin “5.14. Sınai mülkiyet haklarında istisna” başlıklı bölümünden sonra gelmek üzere aşağıdaki bölümler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5.15. Sat-kirala-geri al işlemlerinden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Kurumlar Vergisi Kanununun 5 inci maddesinin birinci fıkrasına eklenen (j) bendiyle,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istisna uygulaması düzenlenmiştir.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Kiracı</w:t>
            </w:r>
            <w:r w:rsidRPr="00037115">
              <w:rPr>
                <w:rFonts w:ascii="Times New Roman" w:eastAsia="Times New Roman" w:hAnsi="Times New Roman" w:cs="Times New Roman"/>
                <w:sz w:val="18"/>
                <w:szCs w:val="18"/>
                <w:lang w:eastAsia="tr-TR"/>
              </w:rPr>
              <w:t>; her türlü taşınır ve taşınmaz mallarını 6361 sayılı Kanun kapsamında geri kiralama amacıyla ve sözleşme sonunda geri alınması şartıyla, kiralayan kurumlara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Kiralayan kurumlar</w:t>
            </w:r>
            <w:r w:rsidRPr="00037115">
              <w:rPr>
                <w:rFonts w:ascii="Times New Roman" w:eastAsia="Times New Roman" w:hAnsi="Times New Roman" w:cs="Times New Roman"/>
                <w:sz w:val="18"/>
                <w:szCs w:val="18"/>
                <w:lang w:eastAsia="tr-TR"/>
              </w:rPr>
              <w:t>; finansal kiralama şirketleri, katılım bankaları ile kalkınma ve yatırım bankalarını,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Sat-kirala-geri al işlemi</w:t>
            </w:r>
            <w:r w:rsidRPr="00037115">
              <w:rPr>
                <w:rFonts w:ascii="Times New Roman" w:eastAsia="Times New Roman" w:hAnsi="Times New Roman" w:cs="Times New Roman"/>
                <w:sz w:val="18"/>
                <w:szCs w:val="18"/>
                <w:lang w:eastAsia="tr-TR"/>
              </w:rPr>
              <w:t>; her türlü taşınır ve taşınmaz malların 6361 sayılı Kanun kapsamında geri kiralama amacıyla ve sözleşme sonunda geri alınması şartıyla, kiracılar tarafından kiralayanlara satışı, kiralayanlar tarafından kiracılara kiralanması ve kiralayanlarca söz konusu varlıkların kiracılara kira süresi sonunda devrine ilişkin süreci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varlıkları devraldıkları kurumlara kira süresi sonunda devreden finansal kiralama şirketleri, katılım bankaları ile kalkınma ve yatırım bankaları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olmasının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uygulamasına her türlü taşınır ve taşınmaz mallar konu olabilecektir.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5.15.2.1. Taşınmazlar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olabilecek taşınmazlar, Türk Medeni Kanununda “Taşınmaz” olarak tanımlanan ve esas niteliği bakımından bir yerden başka bir yere taşınması mümkün olmayan, dolayısıyla yerinde sabit olan mallardır. Taşınmazlar ile ilgili olarak bu Tebliğin (5.6.2.2.1) bölümünde yer alan açıklamalar esas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5.15.2.2. Taşınırlar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6361 sayılı Kanun kapsamında kiralamaya konu edilebilen ve kurumların aktifinde yer alan amortismana tabi tüm taşınırlardır.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5.15.3.1. Taşınır veya taşınmazın kiralayanlara, geri kiralama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sat-kirala-geri al işlemine ilişkin olarak kiracı ile kiralayan kurumlar arasında düzenlenecek sözleşmede, bu işleme konu edilen ve kiracı tarafından kiralayanlara satılan taşınır veya taşınmazın;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Kiralayan kurumlarca kiracıya geri kiralanacağına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kiracı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Fon hesabına alınan kazanç tutarı kiracı tarafından sadece, gerek kira süresi boyunca gerekse kira süresinin sonunda varlıkların geri alınmasından sonra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Sat-kirala-geri al işlemine konu edilen varlıklara ilişkin olarak gerek kira süresi boyunca gerekse kira süresinin sonunda varlıkların geri alınmasından sonra kiracılar tarafından hesaplanacak amortismanların, kiralayan kurumlara devrinden önce (birden fazla kere sat-kirala-geri al işlemine konu edilen varlıkların ilk kez devrinden önce) ilgili varlığın kiracıdaki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(Ç) A.Ş. 13/5/2014 tarihinde 2.500.000.- TL’ye iktisap ettiği ve aktifine aldığı taşınırını 8/9/2016 tarihinde sat-kirala-geri al işlemine konu ederek (D) Katılım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3.000.000.- TL bedelle devretmiştir. Bu sürede (Ç)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taşınırı için ayırdığı amortisman tutarı 500.000.- TL’dir.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66800"/>
                  <wp:effectExtent l="0" t="0" r="9525" b="0"/>
                  <wp:docPr id="11" name="Picture 11" descr="http://www.resmigazete.gov.tr/eskiler/2016/12/20161231M3-1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6/12/20161231M3-17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(Ç) A.Ş. istisnaya konu 1.000.000.- TL tutarındaki kazancını pasifte özel bir fon hesabında takip edecektir. Özel fon hesabında takip edilecek olan bu tutar sadece, sat-kirala-geri al işlemine konu edilen taşınıra ilişkin olarak gerek kira süresi boyunca, gerekse kira süresinin sonunda taşınırın geri alınmasından sonra 3.000.000.- TL üzerinden ayrılacak amortismanların, bu tutar ile taşınırın (D) Katılım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devredildiği tarihte kiracıdaki net bilanço aktif değeri arasındaki fark olan (3.000.000.- TL – 2.000.000.- TL =) 1.000.000.- TL’ye isabet eden kısmına mahsup edilmek suretiyle kullanılabilecektir. Dolayısıyla, gerek kira süresi boyunca, gerekse kira süresinin sonunda taşınırın geri alınmasından sonra 3.000.000.- TL üzerinden ayrılacak toplam amortismanların, en fazla 2.000.000.- TL’lik kısmı kurum kazancının tespitinde dikkate alınabilecek olup kalan 1.000.000.- TL’lik kısmı ise özel fon hesabından mahsup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özel fon hesabının bu taşınır için ayrılacak amortismanların (bu varlıkların kiralayan kurumlara devrinden önce kiracıdaki net bilanço aktif değerine isabet eden amortismanlar hariç) itfası dışında kullanılması mümkün bulunmamaktadır. Özel fon hesabında yer alan tutarın herhangi bir şekilde başka bir hesaba nakledilmesi, işletmeden çekilmesi veya dar mükellef kurumlarca ana merkeze aktarılması ya da kurumun tasfiyesi halinde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işlemine konu edilmesi dolayısıyla kiracı nezdinde doğan ve istisna uygulamasına konu kazanç tutarı, satış tarihi itibarıyla hesaplanacaktır. İstisna kapsamındaki değerlerin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kiracı tarafından pasifte özel bir fon hesabında tutulacak ve özel fon hesabında tutulan bu tutar sadece kiracı tarafından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 xml:space="preserve">(E) A.Ş. 1.000.000.- TL bedelle aktifine kayıtlı taşınırı için toplam 680.000.- TL amortisman ayırdıktan sonra bu taşınırı sat-kirala-geri al işlemine konu ederek 15/8/2016 tarihinde 800.000.- TL bedel üzerinden (F)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(F) Finansal Kiralama A.Ş., 800.000.- TL ana para ve 400.000.- TL faiz olmak üzere toplam 1.200.000.- TL kira ödemesi karşılığında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5 yıllık süreyle kiraladığı bu taşınırı 16/8/2021 tarihinde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 TL bedelle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838200"/>
                  <wp:effectExtent l="0" t="0" r="9525" b="0"/>
                  <wp:docPr id="10" name="Picture 10" descr="http://www.resmigazete.gov.tr/eskiler/2016/12/20161231M3-1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6/12/20161231M3-17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480.000.-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söz konusu taşınıra ilişkin sat-kirala-geri al işleminden kaynaklanan kullanım hakkını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“260 Haklar” hesabında 800.000.- TL bedelle takip edecektir. (E)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taşınır için yıllık olarak hesaplayacağı amortismanın (480.000.- TL / 800.000.- TL=) %60’lık kısmı özel fon hesabından karşılanacak; sadece (320.000.- TL / 800.000.- TL=) %40’lık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taşınırı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(E)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satın aldığı ve aktifinde iz bedeliyle takip ettiği taşınırı kira süresi sonunda 1.000.- TL bedelle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kazancı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 </w:t>
            </w:r>
            <w:r w:rsidRPr="00037115">
              <w:rPr>
                <w:rFonts w:ascii="Times New Roman" w:eastAsia="Times New Roman" w:hAnsi="Times New Roman" w:cs="Times New Roman"/>
                <w:sz w:val="18"/>
                <w:szCs w:val="18"/>
                <w:lang w:eastAsia="tr-TR"/>
              </w:rPr>
              <w:t>(G) A.Ş. 8.000.000.- TL bedelle aktifine kayıtlı olan taşınmazı için toplam 1.600.000.- TL </w:t>
            </w:r>
            <w:proofErr w:type="spellStart"/>
            <w:r w:rsidRPr="00037115">
              <w:rPr>
                <w:rFonts w:ascii="Times New Roman" w:eastAsia="Times New Roman" w:hAnsi="Times New Roman" w:cs="Times New Roman"/>
                <w:sz w:val="18"/>
                <w:szCs w:val="18"/>
                <w:lang w:eastAsia="tr-TR"/>
              </w:rPr>
              <w:t>amortismanayırdıktan</w:t>
            </w:r>
            <w:proofErr w:type="spellEnd"/>
            <w:r w:rsidRPr="00037115">
              <w:rPr>
                <w:rFonts w:ascii="Times New Roman" w:eastAsia="Times New Roman" w:hAnsi="Times New Roman" w:cs="Times New Roman"/>
                <w:sz w:val="18"/>
                <w:szCs w:val="18"/>
                <w:lang w:eastAsia="tr-TR"/>
              </w:rPr>
              <w:t xml:space="preserve"> sonra bu taşınmazı sat-kirala-geri al işlemine konu ederek 22/8/2016 tarihinde 10.000.000.- TL bedel üzerinden (H)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(H) Finansal Kiralama A.Ş., söz konusu taşınmazı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10.000.000.- TL ana para ve 6.000.000.- TL faiz olmak üzere toplam 16.000.000.- TL kira ödemesi karşılığında 8 yıl süreyle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süresinin bitiminde taşınmazı (H) Finansal Kiralama A.Ş. 1.000.- TL bedelle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satmıştır. (G) A.Ş. bu taşınmazını 25/11/2024 tarihinde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13.000.000.-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9" name="Picture 9" descr="http://www.resmigazete.gov.tr/eskiler/2016/12/20161231M3-17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6/12/20161231M3-17_dosyalar/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“260 Haklar” hesabında 10.000.000.- TL bedelle takip edeceği söz konusu taşınmazla ilgili sat-kirala-geri al işleminden kaynaklanan kullanım hakkına ilişkin olarak yıllık olarak hesaplayacağı amortismanın (3.600.000.- TL / 10.000.000.- TL=) %36’lık kısmı özel fon hesabından karşılanacak; en fazla (6.400.000.- TL / 10.000.000.- TL=) %64’lük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taşınmazı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satın aldığı ve aktifinde iz bedeliyle takip ettiği taşınmazı kira süresi sonunda 1.000.- TL bedelle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kazanç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satış: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taşınmazı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(G) A.Ş. 22/8/2016 tarihinde sat-kirala-geri al işlemine konu ettiği ve (H) Finansal Kiralama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1.000.- TL bedelle geri aldıktan sonra 10.001.000.- TL bedelle aktifine kaydetmiş olduğu bu taşınmazı 25/11/2024 tarihinde (İ) Ltd. Şti.’ne13.000.000.- TL bedelle satmıştır. Satış bedelinin tamamı aynı tarihte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banka hesabına aktarılmıştır.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söz konusu taşınmazın kullanım hakkı dolayısıyla kira süresi boyunca 1.152.000.- TL özel fon hesabından mahsup edilmek ve 2.048.000.- TL de kurum kazancının tespitinde dikkate alınmak suretiyle toplam 3.200.000.- TL </w:t>
            </w:r>
            <w:proofErr w:type="spellStart"/>
            <w:r w:rsidRPr="00037115">
              <w:rPr>
                <w:rFonts w:ascii="Times New Roman" w:eastAsia="Times New Roman" w:hAnsi="Times New Roman" w:cs="Times New Roman"/>
                <w:sz w:val="18"/>
                <w:szCs w:val="18"/>
                <w:lang w:eastAsia="tr-TR"/>
              </w:rPr>
              <w:t>amortismanayırmıştır</w:t>
            </w:r>
            <w:proofErr w:type="spellEnd"/>
            <w:r w:rsidRPr="00037115">
              <w:rPr>
                <w:rFonts w:ascii="Times New Roman" w:eastAsia="Times New Roman" w:hAnsi="Times New Roman" w:cs="Times New Roman"/>
                <w:sz w:val="18"/>
                <w:szCs w:val="18"/>
                <w:lang w:eastAsia="tr-TR"/>
              </w:rPr>
              <w:t>.</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sat-kirala-geri al işlemine konu etmiş olduğu taşınmazın, (H) Finansal Kiralama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geri alındıktan sonra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xml:space="preserve"> satışından elde edilen kazanç, kiralayan kuruma devrinden önce bu taşınmazın (G) </w:t>
            </w:r>
            <w:proofErr w:type="spellStart"/>
            <w:r w:rsidRPr="00037115">
              <w:rPr>
                <w:rFonts w:ascii="Times New Roman" w:eastAsia="Times New Roman" w:hAnsi="Times New Roman" w:cs="Times New Roman"/>
                <w:sz w:val="18"/>
                <w:szCs w:val="18"/>
                <w:lang w:eastAsia="tr-TR"/>
              </w:rPr>
              <w:t>A.Ş.’deki</w:t>
            </w:r>
            <w:proofErr w:type="spellEnd"/>
            <w:r w:rsidRPr="00037115">
              <w:rPr>
                <w:rFonts w:ascii="Times New Roman" w:eastAsia="Times New Roman" w:hAnsi="Times New Roman" w:cs="Times New Roman"/>
                <w:sz w:val="18"/>
                <w:szCs w:val="18"/>
                <w:lang w:eastAsia="tr-TR"/>
              </w:rPr>
              <w:t xml:space="preserve"> net bilanço aktif değeri ile sat-kirala-geri al işleminin başlangıcından itibaren bu taşınmaza ilişkin olarak kazancın tespitinde dikkate alınan toplam amortisman tutarı dikkate alınarak hesaplanacaktır.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019175"/>
                  <wp:effectExtent l="0" t="0" r="9525" b="9525"/>
                  <wp:docPr id="8" name="Picture 8" descr="http://www.resmigazete.gov.tr/eskiler/2016/12/20161231M3-1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6/12/20161231M3-17_dosyalar/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normal bir duran varlık satışı gibi kayıtlara alınacak olup özel fon hesabında yer alan bakiye tutar birikmiş amortismanlar gibi değerlendirilecektir. Buna göre,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ile ilgili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133475"/>
                  <wp:effectExtent l="0" t="0" r="9525" b="9525"/>
                  <wp:docPr id="7" name="Picture 7" descr="http://www.resmigazete.gov.tr/eskiler/2016/12/20161231M3-1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6/12/20161231M3-17_dosyalar/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13347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Kanunun 5 inci maddesinin birinci fıkrasının (e) bendinde yer alan şartların sağlanması halinde, taşınmazın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 işleminden doğan kazancın %75’lik kısmı anılan bentte düzenlenen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taşınır veya taşınmazların bir kiracı kurum tarafından, sat-kirala-geri al sürecinin tamamlanması kaydıyla, birden fazla defa sat-kirala-geri al işlemine veya kira sertifikası ihracına konu edilmesinden sonra üçüncü kişilere satılması halinde, üçüncü kişilere yapılan satıştan doğan kazancın tespitinde, taşınır veya taşınmazın bu kiracı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5.15.4.1. Varlıkların sat-kirala-geri al süreci tamamlanmadan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süreci tamamlanmadan kiralayan kurumlar tarafından finansal kiralama yöntemi dahil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Sat-kirala-geri al işlemine konu taşınır ve taşınmaz malların kiralayanlar tarafından üçüncü kişi ve kurumlara satılması durumunda, kiralayan kurumlara devrinden önce bu varlıkların kiracıdaki net bilanço aktif değeri ile bu varlıklar için anılan kurumların kazancının tespitinde dikkate alınan toplam amortisman tutarı dikkate alınarak, satışı gerçekleştiren kiralayan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sat-kirala-geri al işlemine konu edilen taşınır ve taşınmaz malların ilk defa bu işleme konu edildiği tarih itibarıyla kiracıdaki net bilanço aktif değeri, kiracı tarafından kiralayan kuruma bir yazı ile bildirilecektir. Ayrıca, birden fazla defa sat-kirala-geri al işlemine veya kira sertifikası ihracına konu edilen taşınır ve taşınmaz mallar için, bunların ilk defa bu işlemlere konu edildiği tarihten itibaren ayrılan ve kurum kazancının tespitinde dikkate alınan toplam amortisman tutarı da aynı yazı ile kiralayan kuruma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Sözleşmeden kaynaklanan yükümlülüklerin yerine getirilememesi nedeniyle sat-kirala-geri al işleminin tamamlanamaması halinde ise istisna nedeniyle kiracı adına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uygulanmaksızın gecikme faiziyle birlikte tahsil olunacaktır. Kiracı tarafından sat-kirala-geri al işlemine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(M) A.Ş. aktifinde 4.000.000.- TL bedelle kayıtlı olan taşınmaz için 1.000.000.- TL amortisman ayırdıktan sonra bu taşınmazı sat-kirala-geri al işlemine konu ederek 1/8/2017 tarihinde 7.500.000.- TL bedel üzerinden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(N) Finansal Kiralama A.Ş., 7 yıllığına (M)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7.500.000.- TL ana para ve 3.000.000.- TL faiz olmak üzere toplam 10.500.000.- TL kira ödemesi karşılığında kiraladığı bu taşınmazı, (M)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sözleşmeden kaynaklanan yükümlülüklerini yerine getirememesi nedeniyle 4/9/2022 tarihinde (O)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10.000.000.- TL’ye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sat-kirala-geri al işlemine konu ettiği söz konusu taşınmazı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kaynaklanan [7.500.000.- TL – (4.000.000.- TL - 1.000.000.- TL)=] 4.500.000.- TL tutarındaki kazancı için istisnadan faydalanması dolayısıyla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(M)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sat-kirala-geri al işlemine konu etmek suretiyle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devrettiği dönem itibarıyla Kanunun 5 inci maddesinin birinci fıkrasının (e) bendindeki şartların sağlanmış olması ve bu şartların sonradan ihlal edilmemesi kaydıyla, bu işlemden doğan 4.500.000.- TL tutarındaki kazancın %75’lik kısmı için anılan bentte yer alan istisnadan faydalanılması mümkündür. Bu durumda, bu kazancın kalan %25’lik kısmına ilişkin olarak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(M)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lastRenderedPageBreak/>
              <w:t>5.15.4.2. İstisna uygulamasında başlangıç tarihi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maddesinin birinci fıkrasının (b) bendinin birinci alt bendiyle Kurumlar Vergisi Kanununun 5 inci maddesinin birinci fıkrasına eklenen (j) bendinde düzenlenen bu istisna, 2/8/2013 tarihinden itibaren yapılan işlemlere uygulanmak üzere yayımı tarihinde yürürlüğe girmiştir.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2/8/2013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özel fon hesabına almış olmaları kaydıyla anılan tarihten itibaren bu istisnadan yararlanabilmeleri mümkün bulunmaktadır.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2/8/2013 tarihinden sonra gerçekleştirdikleri sat-kirala-geri al işlemlerinden doğan kazançlarını, satış işleminin gerçekleştiği tarihi izleyen takvim yılının başından itibaren ilgili döneme ilişkin kurumlar vergisi beyannamesinin verildiği tarihe kadar, özel fon hesabına almamış olan kurumlar vergisi mükelleflerinin, ilgili dönem defter kayıtlarında geriye dönük olarak bu kazançlarının özel fon hesabına alınmasına ilişkin düzeltme yapmaları mümkün olmadığından, bu işlemleri dolayısıyla istisnadan yararlanamayacakları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Diğer taraftan, sat-kirala-geri al işlemine konu edilen taşınır malların satışından elde edilecek kazançlarda istisna uygulaması 9/8/2016 tarihinden itibaren mümkün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 Kira sertifikası ihracı amacıyla her türlü varlık ve hakların satışından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Kaynak kuruluş</w:t>
            </w:r>
            <w:r w:rsidRPr="00037115">
              <w:rPr>
                <w:rFonts w:ascii="Times New Roman" w:eastAsia="Times New Roman" w:hAnsi="Times New Roman" w:cs="Times New Roman"/>
                <w:sz w:val="18"/>
                <w:szCs w:val="18"/>
                <w:lang w:eastAsia="tr-TR"/>
              </w:rPr>
              <w:t>; kira sertifikası ihraçlarında varlık ve hakları sözleşme sonunda geri alınması şartıyla varlık kiralama şirketine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Varlık kiralama şirketi (VKŞ)</w:t>
            </w:r>
            <w:r w:rsidRPr="00037115">
              <w:rPr>
                <w:rFonts w:ascii="Times New Roman" w:eastAsia="Times New Roman" w:hAnsi="Times New Roman" w:cs="Times New Roman"/>
                <w:sz w:val="18"/>
                <w:szCs w:val="18"/>
                <w:lang w:eastAsia="tr-TR"/>
              </w:rPr>
              <w:t>; 6362 sayılı Kanunun 61 inci maddesi çerçevesinde münhasıran kira sertifikası ihraç etmek üzere anonim şirket şeklinde kurulmuş olan sermaye piyasası kurumunu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İstisnanın kapsamına, kira sertifikası ihracına dayanak her türlü varlık ve haklar girmektedir.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- 6362 sayılı Kanun kapsamında kira sertifikası ihracı amacıyla ve sözleşme sonunda geri alınması şartıyla varlık ve haklarını varlık kiralama şirketlerine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 ve hakları, devraldıkları kurumlara sözleşme süresi sonunda devreden varlık kiralama şirketleri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olmalarının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5.16.2.1. Varlıklar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Varlıklar, kira sertifikaları ihracına dayanak haklar dışındaki her türlü varlıkları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5.16.2.2. Haklar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Haklar, kira sertifikaları ihracına dayanak her türlü hakları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5.16.3.1. Varlık veya hakkın varlık kiralama şirketine, kira sertifikası ihracı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kira sertifikası ihracına ilişkin olarak kaynak kuruluş ile varlık kiralama şirketi arasında düzenlenecek sözleşmede, kira sertifikası ihracına dayanak varlık veya hakkın;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Kaynak kuruluşça varlık kiralama şirketine kira sertifikası ihracı amacıyla satıldığına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kaynak kuruluş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kira sertifikası ihracına ilişkin olarak kaynak kuruluş ile varlık kiralama şirketi arasında düzenlenecek sözleşmede bu işleme dayanak teşkil eden varlık veya hakkın; varlık kiralama şirketine kira sertifikası ihracı amacıyla satıldığına ve sözleşme süresinin sonunda kaynak kuruluş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sertifikası ihracına dayanak teşkil eden varlık ve hakların satışından elde edilecek istisna kazancın, kaynak kuruluş tarafından pasifte özel bir fon hesabına alınması gerekmektedir. Bu çerçevede, fon hesabına alınma işleminin, </w:t>
            </w:r>
            <w:r w:rsidRPr="00037115">
              <w:rPr>
                <w:rFonts w:ascii="Times New Roman" w:eastAsia="Times New Roman" w:hAnsi="Times New Roman" w:cs="Times New Roman"/>
                <w:sz w:val="18"/>
                <w:szCs w:val="18"/>
                <w:lang w:eastAsia="tr-TR"/>
              </w:rPr>
              <w:lastRenderedPageBreak/>
              <w:t>kaynak kuruluşlarca varlık ve hakların varlık kiralama şirketlerine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Fon hesabına alınan kazanç tutarı kaynak kuruluş tarafından sadece bu varlıklar için ayrılacak amortismanların (bu varlıkların varlık kiralama şirketine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haklara ilişkin olarak kaynak kuruluş tarafından hesaplanacak amortismanların,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 ve hakların, kira sertifikası ihracı amacıyla varlık kiralama şirketlerine satışı dolayısıyla kaynak kuruluş nezdinde doğan ve istisna uygulamasına konu kazanç tutarı, satış tarihi itibarıyla hesaplanacaktır. İstisna kapsamındaki varlık ve hakların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kaynak kuruluş tarafından pasifte özel bir fon hesabında tutulacak ve özel fon hesabında tutulan bu tutar sadece kaynak kuruluş tarafından bu varlıklar için ayrılacak amortismanların (bu varlıkların varlık kiralama şirketlerine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hakkın, düzenlenen sözleşme kapsamında varlık kiralama şirketi tarafından kaynak kuruluşa kiralanması durumunda söz konusu kiralama işlemi, Vergi Usul Kanununun mükerrer 290 </w:t>
            </w:r>
            <w:proofErr w:type="spellStart"/>
            <w:r w:rsidRPr="00037115">
              <w:rPr>
                <w:rFonts w:ascii="Times New Roman" w:eastAsia="Times New Roman" w:hAnsi="Times New Roman" w:cs="Times New Roman"/>
                <w:sz w:val="18"/>
                <w:szCs w:val="18"/>
                <w:lang w:eastAsia="tr-TR"/>
              </w:rPr>
              <w:t>ıncımaddesinde</w:t>
            </w:r>
            <w:proofErr w:type="spellEnd"/>
            <w:r w:rsidRPr="00037115">
              <w:rPr>
                <w:rFonts w:ascii="Times New Roman" w:eastAsia="Times New Roman" w:hAnsi="Times New Roman" w:cs="Times New Roman"/>
                <w:sz w:val="18"/>
                <w:szCs w:val="18"/>
                <w:lang w:eastAsia="tr-TR"/>
              </w:rPr>
              <w:t xml:space="preserve"> yer alan şartları taşıması kaydıyla, anılan madde hükümleri çerçevesinde değerlendirilecek olup varlık kiralama şirketi ile kaynak kuruluş tarafından buna göre değerlemeye tabi tutulacaktır. Dolayısıyla, anılan madde kapsamında değerlendirilen sözleşmelerden kaynaklanan kullanma hakkı kaynak kuruluş tarafından “260 Haklar” hesabında takip edilmek suretiyle amortismana tabi tutulabilecek olup kazancın tespitine ve amortisman uygulamasına ilişkin olarak Tebliğin (5.15.4) bölümünde yer alan açıklamalar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xml:space="preserve"> (R) A.Ş. 5.000.000.- TL bedelle aktifine kayıtlı olan taşınmaz için 3.400.000.- TL amortisman ayırdıktan sonra 31/10/2016 tarihinde bu taşınmazı kira sertifikası ihracı amacıyla 8.000.000.- TL bedel üzerinden (Z)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(Z) Varlık Kiralama A.Ş. söz konusu taşınmazı sözleşme süresi sonunda 8.000.000.- TL bedel üzerinden geri alınmak kaydıyla (R)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 yıllığına toplam 2.700.000.- TL bedelle kiralamıştır. Kira süresinin sonunda söz konusu taşınmaz 8.000.000.- TL bedelle (R)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satılmıştır.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6" name="Picture 6" descr="http://www.resmigazete.gov.tr/eskiler/2016/12/20161231M3-1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6/12/20161231M3-17_dosyalar/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(R) A.Ş. 6.400.000.-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(R) A.Ş. sözleşmeden kaynaklanan kullanım hakkını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“260 Haklar” hesabında 8.000.000.- TL bedelle takip edecektir. (R)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bu taşınmaz için yıllık olarak </w:t>
            </w:r>
            <w:r w:rsidRPr="00037115">
              <w:rPr>
                <w:rFonts w:ascii="Times New Roman" w:eastAsia="Times New Roman" w:hAnsi="Times New Roman" w:cs="Times New Roman"/>
                <w:sz w:val="18"/>
                <w:szCs w:val="18"/>
                <w:lang w:eastAsia="tr-TR"/>
              </w:rPr>
              <w:lastRenderedPageBreak/>
              <w:t>hesaplayacağı amortismanın (6.400.000.- TL / 8.000.000.- TL=) %80’lik kısmı özel fon hesabından karşılanacak; sadece (1.600.000.- TL / 8.000.000.- TL=) %20’lik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(Z)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kira sertifikası ihracı dolayısıyla elde edeceği kira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kira sertifikası ihracına dayanak teşkil eden varlık veya hakkın varlık kiralama şirketi tarafından üçüncü bir kişiye kiralanması durumunda ise sözleşmeye konu varlık veya hakkın kullanım hakkının kaynak kuruluşa devri söz konusu olmadığından, bu kiralama işleminin varlık kiralama şirketi ile kaynak kuruluş tarafından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değerlendirilmesi ve buna göre değerlemeye tabi tutulması söz konusu olmayacaktır. Dolayısıyla, bu varlık veya hakka ilişkin olarak kira süresi boyunca kaynak kuruluş tarafından amortisman hesaplanmayacaktır.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varlık kiralama şirketine devredilen varlık ve hakların sözleşme süresi sonunda varlık kiralama şirketinden geri alınmasından sonra kaynak kuruluş tarafından üçüncü kişi ve kurumlara satılması durumunda, kira sertifikası ihracı amacıyla ilk defa varlık kiralama şirketine devrinden önce bu varlıkların kaynak kuruluştaki net bilanço aktif değeri ile ilk defa kira sertifikası ihracı amacıyla devredildikleri hesap döneminden itibaren bu varlıklarla ilgili olarak ayrılan ve anılan kurumların kazancının tespitinde dikkate alınan toplam amortisman tutarı dikkate alınarak kaynak kuruluş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xml:space="preserve"> (Ö) A.Ş. 7.000.000.- TL bedelle aktifine kayıtlı olan taşınır için 5.600.000.- TL amortisman ayırdıktan sonra 21/9/2016 tarihinde bu taşınırı kira sertifikası ihracı amacıyla ve sözleşme süresi sonunda geri alınmak kaydıyla 5.000.000.- TL bedel üzerinden (P)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(P) Varlık Kiralama A.Ş. söz konusu taşınırı (T)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 yıllığına toplam 1.800.000.- TL bedelle kiralamıştır. Kira süresi boyunca bu taşınırla ilgili olarak (P) Varlık Kiralama A.Ş. tarafından toplam 1.500.000.- TL amortisman ayrılmış ve kurum kazancının tespitinde dikkate alınmış olup kira süresinin sonunda söz konusu taşınır 5.000.000.- TL bedelle (Ö)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23/9/2019 tarihinde geri devraldığı bu taşınırı 19/10/2020 tarihinde 6.000.000.- TL bedelle (R)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00125"/>
                  <wp:effectExtent l="0" t="0" r="9525" b="9525"/>
                  <wp:docPr id="5" name="Picture 5" descr="http://www.resmigazete.gov.tr/eskiler/2016/12/20161231M3-17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6/12/20161231M3-17_dosyalar/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sertifikası ihracına dayanak teşkil eden taşınırın varlık kiralama şirketi tarafından (T)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kiralanması nedeniyle, bu taşınıra ilişkin olarak kira süresi boyunca kaynak kuruluş tarafından amortisman hesaplanmayacaktır. (P)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taşınırı 5.000.000.- TL bedelle aktifine kaydedeceği tabiidir.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942975"/>
                  <wp:effectExtent l="0" t="0" r="9525" b="9525"/>
                  <wp:docPr id="4" name="Picture 4" descr="http://www.resmigazete.gov.tr/eskiler/2016/12/20161231M3-17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6/12/20161231M3-17_dosyalar/image0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taşınırı (Ö)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1.500.000.- TL tutarındaki kazancının tamamı kurumlar vergisinden istisna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kira sertifikası ihracı işlemi dolayısıyla elde edeceği kira gelirlerinin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söz konusu taşınırı geri aldıktan sonra 5.000.000.- TL üzerinden yıllık olarak hesaplayacağı amortismanın(3.600.000.- TL / 5.000.000.- TL=) %72’lik kısmını özel fon hesabından mahsup edecek, kalan (1.400.000.- TL / 5.000.000.- TL=) %28’lik kısmını ise gider veya maliyet olarak dikkate alabilecektir.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taşınır için 2019 hesap döneminde ayıracağı amortismanın 500.000.- TL olması halinde bu tutarın 140.000.- TL’lik kısmı kurum kazancının tespitinde dikkate alınabilecek olup 360.000.- TL’lik kısmı ise özel fon hesabından mahsup edilecektir.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343025"/>
                  <wp:effectExtent l="0" t="0" r="9525" b="9525"/>
                  <wp:docPr id="3" name="Picture 3" descr="http://www.resmigazete.gov.tr/eskiler/2016/12/20161231M3-17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6/12/20161231M3-17_dosyalar/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işleminden elde ettiği 6.240.000.- TL tutarındaki kazanç genel hükümlere göre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normal bir duran varlık satışı gibi kayıtlara alınacak olup özel fon hesabında yer alan tutar birikmiş amortismanlar gibi değerlendirilecektir. Buna göre, (Ö)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ile ilgili olarak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5753100" cy="1581150"/>
                  <wp:effectExtent l="0" t="0" r="0" b="0"/>
                  <wp:docPr id="2" name="Picture 2" descr="http://www.resmigazete.gov.tr/eskiler/2016/12/20161231M3-17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migazete.gov.tr/eskiler/2016/12/20161231M3-17_dosyalar/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taşınır için (P) Varlık Kiralama A.Ş. tarafından hesaplanan ve kazancın tespitinde dikkate alınan 1.500.000.- TL amortisman tutarı, (Ö) A.Ş. tarafından taşınırın (R)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satıldığı hesap dönemine ilişkin kurumlar vergisi beyannamesinde kanunen kabul edilmeyen gider olarak kurum kazancına dahil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kira sertifikası ihracına dayanak teşkil eden varlık ve haklara ilişkin olarak varlık kiralama şirketi tarafından ayrılan ve kurumun kazancının tespitinde dikkate alınan toplam amortisman tutarı sözleşme süresinin bitiminde bir yazı ile kaynak kuruluşa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kira sertifikası ihracı amacıyla varlık kiralama şirketine devredilen varlık veya hakkın, sözleşme sonunda geri alınmış olması kaydıyla, aynı kaynak kuruluş tarafından birden fazla defa kira sertifikası ihracına veya sat-kirala-geri al işlemine konu edilmesinden sonra üçüncü kişilere satılması halinde, bu satış kazancının tespitinde varlık veya hakkın bu kaynak kuruluş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5.16.4.1. Varlık ve hakların varlık kiralama şirketleri tarafından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Varlık ve hakların varlık kiralama şirketleri tarafından üçüncü kişi ve kurumlara satılması durumunda ayrıca, istisna uygulaması dolayısıyla kaynak kuruluş adına zamanında tahakkuk ettirilmeyen vergiler de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uygulanmaksızın gecikme faiziyle birlikte kaynak kuruluştan tahsil olunacaktır. Kaynak kuruluş tarafından kira sertifikası ihracına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(G) A.Ş. 4.000.000.- TL bedelle aktifine kayıtlı olan taşınmaz için 320.000.- TL amortisman ayırmış olup bu taşınmazı kira sertifikası ihracı amacıyla 19/8/2016 tarihinde 5.000.000.- TL bedel üzerinden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(Ş) Varlık Kiralama A.Ş. söz konusu taşınmazı sözleşme süresi sonunda 5.000.000.- TL bedel üzerinden geri alınmak kaydıyla aynı tarihte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2 yıllığına toplam 1.000.000.- TL bedelle kiralamıştır. (Ş) Varlık Kiralama A.Ş. söz konusu taşınmazı,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sözleşmeden kaynaklanan yükümlülüklerini yerine getirememesi nedeniyle kira süresi devam ederken 17/5/2017 tarihinde (V)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6.000.000.-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695325"/>
                  <wp:effectExtent l="0" t="0" r="9525" b="9525"/>
                  <wp:docPr id="1" name="Picture 1" descr="http://www.resmigazete.gov.tr/eskiler/2016/12/20161231M3-17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migazete.gov.tr/eskiler/2016/12/20161231M3-17_dosyalar/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(V)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doğan 1.000.000.- TL tutarındaki kazanç genel hükümlere göre (Ş) Varlık Kiralama A.Ş. nezdinde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kira sertifikası ihracına konu ettiği taşınmazı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devrinden kaynaklanan [5.000.000.- TL – (4.000.000.- TL – 320.000.- TL)=] 1.320.000.- TL tutarındaki kazancına istisna uygulanması dolayısıyla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 ile birlikte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kira sertifikası ihracı işlemine konu etmek suretiyle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devrettiği dönem itibarıyla Kanunun 5 inci maddesinin birinci fıkrasının (e) bendindeki şartların sağlanmış olması ve bu şartların sonradan ihlal edilmemesi kaydıyla, bu işlemden doğan 1.320.000.- TL tutarındaki kazancın %75’lik kısmı için anılan bentte yer alan istisnadan faydalanılması mümkündür. Bu durumda, bu kazancın kalan %25’lik kısmına ilişkin olarak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16 –</w:t>
            </w:r>
            <w:r w:rsidRPr="00037115">
              <w:rPr>
                <w:rFonts w:ascii="Times New Roman" w:eastAsia="Times New Roman" w:hAnsi="Times New Roman" w:cs="Times New Roman"/>
                <w:sz w:val="18"/>
                <w:szCs w:val="18"/>
                <w:lang w:eastAsia="tr-TR"/>
              </w:rPr>
              <w:t> Aynı Tebliğin “10.2. Ar-Ge indirimi” başlıklı bölümü aşağıdaki şekilde değiştirilmiş ve bu bölümün alt bölümleri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“Ar-Ge indirimi uygulamasına ilişkin 5520 sayılı Kanunun 10 uncu maddesinin birinci fıkrasının (a) bendi,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hükmü gereğince 9/8/2016 tarihi itibarıyla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Yine 6728 sayılı Kanunun 60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maddesiyle, 5746 sayılı Kanuna 3/A maddesi eklenmiştir. 5746 sayılı Kanunun 3/A maddesinde, gelir ve kurumlar vergisi mükelleflerinin işletmeleri bünyesinde gerçekleştirdikleri Ar-Ge ve yenilik faaliyetlerine ilişkin Ar-Ge indirimi müessesesi düzenlenmiştir. Buna göre,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9/8/2016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Diğer taraftan, 9/8/2016tarihinden önce bu Tebliğ düzenlemeleri çerçevesinde yapılan başvurulara konu projelerle ilgili olarak Kurumlar Vergisi Kanununun 10 uncu maddesinin birinci fıkrasının (a) bendinin 6728 sayılı Kanunla değiştirilmeden önceki hükümlerine göre Ar-Ge indiriminden yararlanılacaktır.”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17 –</w:t>
            </w:r>
            <w:r w:rsidRPr="00037115">
              <w:rPr>
                <w:rFonts w:ascii="Times New Roman" w:eastAsia="Times New Roman" w:hAnsi="Times New Roman" w:cs="Times New Roman"/>
                <w:sz w:val="18"/>
                <w:szCs w:val="18"/>
                <w:lang w:eastAsia="tr-TR"/>
              </w:rPr>
              <w:t> Aynı Tebliğin “10.5.1. İndirim kapsamındaki hizmetler”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10.5.1. İndirim kapsamındaki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İlgili şirketler tarafından elde edilen kazancın %50’sinin beyan edilen kurum kazancından indirilebilmesi için bu kazancın aşağıda belirtilen faaliyetlerden elde edilmiş olması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Mimarlık, mühendislik, tasarım, yazılım, tıbbi raporlama, muhasebe kaydı tutma, çağrı merkezi, ürün testi, sertifikasyon, veri saklama, veri işleme, veri analizi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bakanlıkların görüşü alınmak suretiyle Maliye Bakanlığınca belirlenen mesleki eğitim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bakanlığın izni ve denetimine tabi olarak verilen eğitim ve sağlık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 tanıtım, satış, satış sonrası hizmetler, marka yönetimi, finansal yönetim, teknik destek, Ar-Ge, tasarım, dış tedarik, yeni geliştirilen ürünlerin test edilmesi, laboratuvar,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Sanayi, turizm, inşaat, tarım, savunma, reklam, internet ve e-ticaret, çevre, sağlık, basın, kültür-sanat, sigorta, enerji, spor ve denizcilik, iç ve dış ticaret, lojistik ve ulaştırma.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yukarıda yer alan alanlarda verilen mesleki eğitim hizmetleri, indirim kapsamında değerlendirilecektir.”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18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a) “10.5. Türkiye’den yurt dışı mukimi kişi ve kurumlara verilen hizmetler”, “10.5.2.1. İndirimden faydalanabilecek şirketlerin ana sözleşmelerinde yazılı esas faaliyet konusu”, “10.5.2.2. Hizmetin, Türkiye’den münhasıran yurt dışı mukimi kişi ve/veya kurum için yapılmış olması” başlıklı bölümlerinde geçen “çağrı merkezi ve veri saklama” ibareleri “çağrı </w:t>
            </w:r>
            <w:r w:rsidRPr="00037115">
              <w:rPr>
                <w:rFonts w:ascii="Times New Roman" w:eastAsia="Times New Roman" w:hAnsi="Times New Roman" w:cs="Times New Roman"/>
                <w:sz w:val="18"/>
                <w:szCs w:val="18"/>
                <w:lang w:eastAsia="tr-TR"/>
              </w:rPr>
              <w:lastRenderedPageBreak/>
              <w:t>merkezi, ürün testi, sertifikasyon, veri saklama, veri işleme, veri analizi ve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“10.5.2.1. İndirimden faydalanabilecek şirketlerin ana sözleşmelerinde yazılı esas faaliyet konusu” başlıklı bölümünde geçen “çağrı merkezi, veri saklama” ibaresi, “çağrı merkezi, ürün testi, sertifikasyon, veri saklama, veri işleme, veri analizi,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“10.5.2.4. Türkiye’den verilen, mimarlık, mühendislik, tasarım, yazılım, tıbbi raporlama, muhasebe kaydı tutma, çağrı merkezi ve veri saklama hizmetlerinden yurt dışında yararlanılması” bölümünün başlığı, “10.5.2.4. Türkiye’den verilen, mimarlık, mühendislik, tasarım, yazılım, tıbbi raporlama, muhasebe kaydı tutma, çağrı merkezi, ürün testi, sertifikasyon, veri saklama, veri işleme ve veri analizi hizmetlerinden yurt dışında yararlanılması”,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ç) “10.5.2.5. İlgili bakanlığın izin ve denetimine tabi olarak Türkiye'de yerleşmiş olmayan kişilere verilen eğitim ve sağlık hizmetlerinin yararlanıcısının yurt dışında olması” bölümünün başlığı, “10.5.2.5. İlgili bakanlığın izin ve denetimine tabi olarak Türkiye'de yerleşmiş olmayan kişilere verilen eğitim ve sağlık hizmetleri ile mesleki eğitim hizmetlerinin yararlanıcısının yurt dışında olması” şeklinde,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 “10.5.3.2. Kazançların kayıtlarda izlenmesi” başlıklı bölümünde geçen “çağrı merkezi, veri saklama” ibaresi, “çağrı merkezi, ürün testi, sertifikasyon, veri saklama, veri işleme, veri analizi,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19 – </w:t>
            </w:r>
            <w:r w:rsidRPr="00037115">
              <w:rPr>
                <w:rFonts w:ascii="Times New Roman" w:eastAsia="Times New Roman" w:hAnsi="Times New Roman" w:cs="Times New Roman"/>
                <w:sz w:val="18"/>
                <w:szCs w:val="18"/>
                <w:lang w:eastAsia="tr-TR"/>
              </w:rPr>
              <w:t>Aynı Tebliğin “32.2.1. Kapsam” başlıklı bölümünün ikinci paragrafında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20 – </w:t>
            </w:r>
            <w:r w:rsidRPr="00037115">
              <w:rPr>
                <w:rFonts w:ascii="Times New Roman" w:eastAsia="Times New Roman" w:hAnsi="Times New Roman" w:cs="Times New Roman"/>
                <w:sz w:val="18"/>
                <w:szCs w:val="18"/>
                <w:lang w:eastAsia="tr-TR"/>
              </w:rPr>
              <w:t>Aynı Tebliğin “32.2.4. İndirimli vergi uygulamasına ilişkin Bakanlar Kuruluna verilen yetki” başlıklı bölümünde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21 – </w:t>
            </w:r>
            <w:r w:rsidRPr="00037115">
              <w:rPr>
                <w:rFonts w:ascii="Times New Roman" w:eastAsia="Times New Roman" w:hAnsi="Times New Roman" w:cs="Times New Roman"/>
                <w:sz w:val="18"/>
                <w:szCs w:val="18"/>
                <w:lang w:eastAsia="tr-TR"/>
              </w:rPr>
              <w:t>Aynı Tebliğin “32.2.10. Teşvik belgeli yatırımların devri”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32.2.11. Yatırıma katkı tutarında endeksleme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6745 sayılı Yatırımların Proje Bazında Desteklenmesi ile Bazı Kanun ve Kanun Hükmünde Kararnamelerde Değişiklik Yapılmasına Dair Kanunun 66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 hükmü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ilgili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(L) A.Ş. yatırım teşvik belgesi kapsamında 2013 hesap döneminde başladığı yatırımını 15/10/2015 tarihinde tamamlamış ve 1/11/2015 tarihinde tamamen işletmeye başlamıştır.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yatırım teşvik belgesi kapsamındaki yatırımının yatırıma katkı oranı %50 ve vergi indirim oranı %80 olup toplam yatırıma katkı tutarı 3.000.000.- TL’dir. (L) A.Ş. toplam yatırıma katkı tutarının 800.000.- TL’lik kısmını 2013 ve 2014 hesap dönemlerinde diğer faaliyetlerinden elde ettiği kazançlarına indirimli kurumlar vergisi uygulamak suretiyle kullanmıştır. Yatırımın tamamlandığı 2015 hesap dönemine ilişkin kurumlar vergisi beyannamesinde, diğer faaliyetlerinden elde ettiği kazançlarına indirimli kurumlar vergisi uygulamak suretiyle 450.000.- TL, bu yatırımından elde ettiği kazancına indirimli kurumlar vergisi uygulamak suretiyle de 250.000.- TL olmak üzere yatırıma katkı tutarının toplam 700.000.- TL’lik kısmından yararlanmıştır. 2016 hesap dönemine ilişkin kurumlar vergisi beyannamesinde, bu yatırımından elde ettiği kazancına indirimli kurumlar vergisi uygulamak suretiyle yatırıma katkı tutarının 300.000.- TL’lik kısmından faydalanmıştır.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(L) A.Ş. bu yatırımına ilişkin toplam yatırıma katkı tutarının kalan [3.000.000.- TL – (800.000.- TL + 700.000.- TL + 300.000.- TL)=] 1.200.000.- TL’lik kısmını, 2017 yılı için Vergi Usul Kanunu hükümlerine göre belirlenen yeniden değerleme oranında artırarak kullanabilecektir. 2017 yılı için belirlenen yeniden değerleme oranının %5 olması halinde, (L)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yeniden değerleme sonrasında yararlanabileceği yatırıma katkı tutarı [1.200.000.- TL x (1 + 0,05)=] 1.260.000.- TL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2017 hesap döneminde bu yatırımından elde ettiği kazancının 2.500.000.- TL olması halinde yararlanılacak yatırıma katkı tutarı [(2.500.000.- TL x %20) – (2.500.000.TL x %4)] 400.000.- TL ve bu durumda 2018 hesap dönemine devreden yatırıma katkı tutarı da (1.260.000.- TL – 400.000.- TL=) 860.000.- TL olacaktır. (L) A.Ş. bu tutarı, 2018 yılı için Vergi Usul Kanunu hükümlerine göre belirlenen yeniden değerleme oranında artırarak kullanabilecektir.”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22 – </w:t>
            </w:r>
            <w:r w:rsidRPr="00037115">
              <w:rPr>
                <w:rFonts w:ascii="Times New Roman" w:eastAsia="Times New Roman" w:hAnsi="Times New Roman" w:cs="Times New Roman"/>
                <w:sz w:val="18"/>
                <w:szCs w:val="18"/>
                <w:lang w:eastAsia="tr-TR"/>
              </w:rPr>
              <w:t>Aynı Tebliğin Ek-1, Ek-2 ve Ek-3’ü Tebliğden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23 – </w:t>
            </w:r>
            <w:r w:rsidRPr="00037115">
              <w:rPr>
                <w:rFonts w:ascii="Times New Roman" w:eastAsia="Times New Roman" w:hAnsi="Times New Roman" w:cs="Times New Roman"/>
                <w:sz w:val="18"/>
                <w:szCs w:val="18"/>
                <w:lang w:eastAsia="tr-TR"/>
              </w:rPr>
              <w:t>Bu Tebliğ hükümlerini Maliye Bakanı yürütür.</w:t>
            </w:r>
          </w:p>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 </w:t>
            </w:r>
          </w:p>
        </w:tc>
      </w:tr>
    </w:tbl>
    <w:p w:rsidR="00037115" w:rsidRDefault="00037115" w:rsidP="00037115">
      <w:pPr>
        <w:spacing w:after="160" w:line="259" w:lineRule="auto"/>
        <w:rPr>
          <w:rFonts w:ascii="Times New Roman" w:hAnsi="Times New Roman" w:cs="Times New Roman"/>
          <w:sz w:val="24"/>
          <w:szCs w:val="24"/>
        </w:rPr>
      </w:pPr>
    </w:p>
    <w:sectPr w:rsidR="00037115" w:rsidSect="000371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F149F"/>
    <w:multiLevelType w:val="multilevel"/>
    <w:tmpl w:val="8CB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C21E5"/>
    <w:multiLevelType w:val="hybridMultilevel"/>
    <w:tmpl w:val="19263C48"/>
    <w:lvl w:ilvl="0" w:tplc="724434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D92C99"/>
    <w:multiLevelType w:val="multilevel"/>
    <w:tmpl w:val="278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1D7FDC"/>
    <w:multiLevelType w:val="multilevel"/>
    <w:tmpl w:val="BF5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7E0DA3"/>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46471"/>
    <w:multiLevelType w:val="hybridMultilevel"/>
    <w:tmpl w:val="1234C366"/>
    <w:lvl w:ilvl="0" w:tplc="2FA8B7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242380"/>
    <w:multiLevelType w:val="multilevel"/>
    <w:tmpl w:val="304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0"/>
  </w:num>
  <w:num w:numId="5">
    <w:abstractNumId w:val="5"/>
  </w:num>
  <w:num w:numId="6">
    <w:abstractNumId w:val="12"/>
  </w:num>
  <w:num w:numId="7">
    <w:abstractNumId w:val="4"/>
  </w:num>
  <w:num w:numId="8">
    <w:abstractNumId w:val="11"/>
  </w:num>
  <w:num w:numId="9">
    <w:abstractNumId w:val="8"/>
  </w:num>
  <w:num w:numId="10">
    <w:abstractNumId w:val="6"/>
  </w:num>
  <w:num w:numId="11">
    <w:abstractNumId w:val="14"/>
  </w:num>
  <w:num w:numId="12">
    <w:abstractNumId w:val="16"/>
  </w:num>
  <w:num w:numId="13">
    <w:abstractNumId w:val="10"/>
  </w:num>
  <w:num w:numId="14">
    <w:abstractNumId w:val="2"/>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22FAF"/>
    <w:rsid w:val="0002440A"/>
    <w:rsid w:val="00037115"/>
    <w:rsid w:val="00051C13"/>
    <w:rsid w:val="00070486"/>
    <w:rsid w:val="00080011"/>
    <w:rsid w:val="00096342"/>
    <w:rsid w:val="000B6955"/>
    <w:rsid w:val="000D5C36"/>
    <w:rsid w:val="00130C39"/>
    <w:rsid w:val="0027101D"/>
    <w:rsid w:val="00403F11"/>
    <w:rsid w:val="0040720E"/>
    <w:rsid w:val="00454309"/>
    <w:rsid w:val="00483413"/>
    <w:rsid w:val="004E751D"/>
    <w:rsid w:val="004F4DA0"/>
    <w:rsid w:val="00543223"/>
    <w:rsid w:val="00561B73"/>
    <w:rsid w:val="005D1E46"/>
    <w:rsid w:val="005E365C"/>
    <w:rsid w:val="00603507"/>
    <w:rsid w:val="00607971"/>
    <w:rsid w:val="0061424F"/>
    <w:rsid w:val="00614513"/>
    <w:rsid w:val="00654C79"/>
    <w:rsid w:val="00713EA3"/>
    <w:rsid w:val="00741C2D"/>
    <w:rsid w:val="0077665B"/>
    <w:rsid w:val="0078107B"/>
    <w:rsid w:val="007F798F"/>
    <w:rsid w:val="008179D6"/>
    <w:rsid w:val="00845FA6"/>
    <w:rsid w:val="00866615"/>
    <w:rsid w:val="008F2270"/>
    <w:rsid w:val="00954794"/>
    <w:rsid w:val="00A118A0"/>
    <w:rsid w:val="00A24CF3"/>
    <w:rsid w:val="00A36682"/>
    <w:rsid w:val="00A9163B"/>
    <w:rsid w:val="00AB419C"/>
    <w:rsid w:val="00AD0F90"/>
    <w:rsid w:val="00AD1EF0"/>
    <w:rsid w:val="00AD3BC9"/>
    <w:rsid w:val="00B44D67"/>
    <w:rsid w:val="00B94CD9"/>
    <w:rsid w:val="00BC1A08"/>
    <w:rsid w:val="00BC2811"/>
    <w:rsid w:val="00BE6CFB"/>
    <w:rsid w:val="00C64CC2"/>
    <w:rsid w:val="00C77BB1"/>
    <w:rsid w:val="00C90105"/>
    <w:rsid w:val="00CC7D2B"/>
    <w:rsid w:val="00D13979"/>
    <w:rsid w:val="00E100A8"/>
    <w:rsid w:val="00E136C1"/>
    <w:rsid w:val="00E4617D"/>
    <w:rsid w:val="00EC55B6"/>
    <w:rsid w:val="00ED6D74"/>
    <w:rsid w:val="00F13D1A"/>
    <w:rsid w:val="00F4756B"/>
    <w:rsid w:val="00F66F6A"/>
    <w:rsid w:val="00F75264"/>
    <w:rsid w:val="00FB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690E-5402-42DD-A485-8B45FE6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table" w:customStyle="1" w:styleId="TableGrid1">
    <w:name w:val="Table Grid1"/>
    <w:basedOn w:val="NormalTablo"/>
    <w:next w:val="TabloKlavuzu"/>
    <w:uiPriority w:val="39"/>
    <w:rsid w:val="00C7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11167</Words>
  <Characters>63655</Characters>
  <Application>Microsoft Office Word</Application>
  <DocSecurity>0</DocSecurity>
  <Lines>530</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2014-11-25T12:24:00Z</cp:lastPrinted>
  <dcterms:created xsi:type="dcterms:W3CDTF">2017-02-02T06:37:00Z</dcterms:created>
  <dcterms:modified xsi:type="dcterms:W3CDTF">2017-02-02T06:37:00Z</dcterms:modified>
</cp:coreProperties>
</file>