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40" w:rsidRDefault="00572340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44108112" wp14:editId="483460FC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13D86" w:rsidRPr="00FB310A" w:rsidTr="00352569">
        <w:tc>
          <w:tcPr>
            <w:tcW w:w="9918" w:type="dxa"/>
          </w:tcPr>
          <w:p w:rsidR="00613D86" w:rsidRPr="00FB310A" w:rsidRDefault="00613D86" w:rsidP="00352569">
            <w:pPr>
              <w:spacing w:line="48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tr-TR"/>
              </w:rPr>
            </w:pPr>
          </w:p>
          <w:p w:rsidR="00613D86" w:rsidRPr="00FB310A" w:rsidRDefault="00613D86" w:rsidP="00352569">
            <w:pPr>
              <w:spacing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tr-TR"/>
              </w:rPr>
            </w:pPr>
            <w:r w:rsidRPr="00FB310A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tr-TR"/>
              </w:rPr>
              <w:t>BAKIŞ MEVZUAT</w:t>
            </w:r>
          </w:p>
        </w:tc>
      </w:tr>
      <w:tr w:rsidR="00613D86" w:rsidRPr="00FB310A" w:rsidTr="00352569">
        <w:tc>
          <w:tcPr>
            <w:tcW w:w="9918" w:type="dxa"/>
          </w:tcPr>
          <w:p w:rsidR="00613D86" w:rsidRPr="00FB310A" w:rsidRDefault="00613D86" w:rsidP="0035256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99"/>
                <w:spacing w:val="-4"/>
                <w:sz w:val="28"/>
                <w:szCs w:val="28"/>
                <w:lang w:eastAsia="tr-TR"/>
              </w:rPr>
            </w:pPr>
          </w:p>
          <w:p w:rsidR="00613D86" w:rsidRPr="0037503F" w:rsidRDefault="0037503F" w:rsidP="0037503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6"/>
                <w:szCs w:val="28"/>
                <w:lang w:eastAsia="tr-TR"/>
              </w:rPr>
            </w:pPr>
            <w:r w:rsidRPr="0037503F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tr-TR"/>
              </w:rPr>
              <w:t>5746 SAYILI ARAŞTIRMA, GELİŞTİRME VE TASARIM FAALİYETLERİNİN DESTEKLENMESİ HAKKINDA KANUN GENEL TEBLİĞİ (SERİ NO: 4)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tr-TR"/>
              </w:rPr>
              <w:t xml:space="preserve"> DE DEĞ</w:t>
            </w:r>
            <w:r w:rsidR="00572340">
              <w:rPr>
                <w:rFonts w:ascii="Times New Roman" w:eastAsia="Calibri" w:hAnsi="Times New Roman" w:cs="Times New Roman"/>
                <w:b/>
                <w:color w:val="002060"/>
                <w:sz w:val="26"/>
                <w:szCs w:val="28"/>
                <w:lang w:eastAsia="tr-TR"/>
              </w:rPr>
              <w:t xml:space="preserve">İŞİKLİK 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6"/>
                <w:szCs w:val="28"/>
                <w:lang w:eastAsia="tr-TR"/>
              </w:rPr>
              <w:t xml:space="preserve">YAPILDI </w:t>
            </w:r>
          </w:p>
        </w:tc>
      </w:tr>
      <w:tr w:rsidR="00613D86" w:rsidRPr="00FB310A" w:rsidTr="00352569">
        <w:tc>
          <w:tcPr>
            <w:tcW w:w="9918" w:type="dxa"/>
          </w:tcPr>
          <w:p w:rsidR="00613D86" w:rsidRPr="00FB310A" w:rsidRDefault="00572340" w:rsidP="00352569">
            <w:pPr>
              <w:tabs>
                <w:tab w:val="left" w:pos="567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2017/40</w:t>
            </w:r>
          </w:p>
        </w:tc>
      </w:tr>
      <w:tr w:rsidR="00613D86" w:rsidRPr="00FB310A" w:rsidTr="00352569">
        <w:trPr>
          <w:trHeight w:val="870"/>
        </w:trPr>
        <w:tc>
          <w:tcPr>
            <w:tcW w:w="9918" w:type="dxa"/>
          </w:tcPr>
          <w:p w:rsidR="000A3386" w:rsidRDefault="000A3386" w:rsidP="00FB069F">
            <w:pPr>
              <w:spacing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FB069F" w:rsidRPr="00FB310A" w:rsidRDefault="00613D86" w:rsidP="0037503F">
            <w:pPr>
              <w:spacing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ÖZET :</w:t>
            </w:r>
            <w:r w:rsidR="00483D3F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0A338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694C93" w:rsidRPr="00694C9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Tebliğ’de</w:t>
            </w:r>
            <w:proofErr w:type="gramEnd"/>
            <w:r w:rsidR="00694C93" w:rsidRPr="00694C9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28/2/2008 tarihli ve 5746 sayılı Araştırma, Geliştirme ve Tasarım Faaliyetlerinin Desteklenmesi Hakkında Kanunda yer alan gelir vergisi stopajı teşviki uygulamasına </w:t>
            </w:r>
            <w:r w:rsidR="0037503F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konu harcamalarda değişiklik yapıldı. </w:t>
            </w:r>
          </w:p>
        </w:tc>
      </w:tr>
      <w:tr w:rsidR="00694C93" w:rsidRPr="00FB310A" w:rsidTr="00352569">
        <w:trPr>
          <w:trHeight w:val="870"/>
        </w:trPr>
        <w:tc>
          <w:tcPr>
            <w:tcW w:w="9918" w:type="dxa"/>
          </w:tcPr>
          <w:p w:rsidR="00694C93" w:rsidRDefault="00694C93" w:rsidP="00694C9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4C93" w:rsidRPr="00694C93" w:rsidRDefault="00694C93" w:rsidP="00694C9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26.02.2016 </w:t>
            </w:r>
            <w:proofErr w:type="gramStart"/>
            <w:r w:rsidRPr="00694C93">
              <w:rPr>
                <w:rFonts w:ascii="Times New Roman" w:eastAsia="Calibri" w:hAnsi="Times New Roman" w:cs="Times New Roman"/>
                <w:sz w:val="24"/>
                <w:szCs w:val="24"/>
              </w:rPr>
              <w:t>tarihli  ve</w:t>
            </w:r>
            <w:proofErr w:type="gramEnd"/>
            <w:r w:rsidRPr="006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29636 sayılı Resmi Gazete’de yayımlanan 6676 sayılı “</w:t>
            </w:r>
            <w:r w:rsidRPr="00694C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ARAŞTIRMA VE GELİŞTİRME FAALİYETLERİNİN DESTEKLENMESİ HAKKINDA KANUN İLE BAZI KANUN VE KANUN HÜKMÜNDE KARARNAMELERDE DEĞİŞİKLİK YAPILMASINA DAİR KANUN</w:t>
            </w:r>
            <w:r w:rsidRPr="00694C93">
              <w:rPr>
                <w:rFonts w:ascii="Times New Roman" w:eastAsia="Calibri" w:hAnsi="Times New Roman" w:cs="Times New Roman"/>
                <w:sz w:val="24"/>
                <w:szCs w:val="24"/>
              </w:rPr>
              <w:t>” ile 193 sayılı Gelir Vergisi Kanunu, 3065 sayılı Katma Değer Vergisi Kanunu, 4691 sayılı Teknoloji Geliştirme Bölgeleri Kanunu ve 5746 sayılı Araştırma ve Geliştirme Faaliyetlerinin Desteklenmesi Hakkında Kanun’da  değişiklikler yapılmıştı.</w:t>
            </w:r>
          </w:p>
          <w:p w:rsidR="00694C93" w:rsidRPr="00694C93" w:rsidRDefault="00694C93" w:rsidP="00694C9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4C93" w:rsidRPr="00694C93" w:rsidRDefault="003A1F19" w:rsidP="00694C9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Daha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sonra  </w:t>
            </w:r>
            <w:r w:rsidR="00694C93" w:rsidRPr="00694C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proofErr w:type="gramEnd"/>
            <w:r w:rsidR="00694C93" w:rsidRPr="00694C93">
              <w:rPr>
                <w:rFonts w:ascii="Times New Roman" w:eastAsia="Calibri" w:hAnsi="Times New Roman" w:cs="Times New Roman"/>
                <w:sz w:val="24"/>
                <w:szCs w:val="24"/>
              </w:rPr>
              <w:t>.09.2016 tarihli  ve 29843 sayılı Resmi Gazete’de yayımlanan 5746 SAYILI ARAŞTIRMA, GELİŞTİRME VE TASARIM FAALİYETLERİNİN  DESTEKLENMESİ HAKKINDA KANUN GENEL TEBLİĞİ (SERİ NO: 4)’</w:t>
            </w:r>
            <w:proofErr w:type="spellStart"/>
            <w:r w:rsidR="00694C93" w:rsidRPr="00694C93">
              <w:rPr>
                <w:rFonts w:ascii="Times New Roman" w:eastAsia="Calibri" w:hAnsi="Times New Roman" w:cs="Times New Roman"/>
                <w:sz w:val="24"/>
                <w:szCs w:val="24"/>
              </w:rPr>
              <w:t>nde</w:t>
            </w:r>
            <w:proofErr w:type="spellEnd"/>
            <w:r w:rsidR="00694C93" w:rsidRPr="00694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28/2/2008 tarihli ve 5746 sayılı Araştırma, Geliştirme ve Tasarım Faaliyetlerinin Desteklenmesi Hakkında Kanunda yer alan gelir vergisi stopajı teşviki uygulamasına ili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şkin açıklamalarda bulunulmuştu. </w:t>
            </w:r>
          </w:p>
          <w:p w:rsidR="00694C93" w:rsidRDefault="00ED11FC" w:rsidP="00694C9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Bu defa </w:t>
            </w:r>
            <w:r w:rsidRPr="00ED11FC">
              <w:rPr>
                <w:rFonts w:ascii="Times New Roman" w:eastAsia="Calibri" w:hAnsi="Times New Roman" w:cs="Times New Roman"/>
                <w:sz w:val="24"/>
                <w:szCs w:val="24"/>
              </w:rPr>
              <w:t>8 Mart 2017 tarihli ve 30001 sayılı Resmi Gazetede yayımlanan 5746 Sayılı Araştırma, Geliştirme Ve Tasarım Faaliyetlerinin Desteklenmesi Hakkında Kanun Genel Tebliği (Seri No: 4)’</w:t>
            </w:r>
            <w:proofErr w:type="spellStart"/>
            <w:r w:rsidRPr="00ED11FC">
              <w:rPr>
                <w:rFonts w:ascii="Times New Roman" w:eastAsia="Calibri" w:hAnsi="Times New Roman" w:cs="Times New Roman"/>
                <w:sz w:val="24"/>
                <w:szCs w:val="24"/>
              </w:rPr>
              <w:t>nde</w:t>
            </w:r>
            <w:proofErr w:type="spellEnd"/>
            <w:r w:rsidRPr="00ED1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Değişiklik Yapılmasına Dair Tebliğ (Seri No:7) ile söz konusu Tebliğde değişiklik yapılmıştır.  </w:t>
            </w:r>
          </w:p>
          <w:p w:rsidR="00ED11FC" w:rsidRDefault="00ED11FC" w:rsidP="00694C9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FC" w:rsidRPr="00694C93" w:rsidRDefault="00ED11FC" w:rsidP="00694C9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C93" w:rsidRPr="00ED11FC" w:rsidRDefault="00ED11FC" w:rsidP="00ED11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Yapılan değişiklikle </w:t>
            </w:r>
            <w:r w:rsidRPr="00ED11F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8 Mart 2017 tarihinden itibaren geçerli olmak üzere</w:t>
            </w:r>
            <w:r w:rsidRPr="00ED11FC">
              <w:rPr>
                <w:rFonts w:ascii="Times New Roman" w:eastAsia="Times New Roman" w:hAnsi="Times New Roman" w:cs="Times New Roman"/>
                <w:lang w:eastAsia="tr-TR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ED11FC">
              <w:rPr>
                <w:rFonts w:ascii="Times New Roman" w:eastAsia="Times New Roman" w:hAnsi="Times New Roman" w:cs="Times New Roman"/>
                <w:lang w:eastAsia="tr-TR"/>
              </w:rPr>
              <w:t>“Ar-Ge veya tasarım merkezleri alanı dışında gerçekleştirilen faaliyetler ile lisansüstü eğitim kapsamında dışarıda geçirilen sürelere ilişkin ücretlerden; gerçek yol giderleri dâhil olmak üzere yol, konaklama, gündelik gibi adlar altında gider karşılığı olarak yapılan ödemeler ile sağlanan menfaatlerin”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ED11FC">
              <w:rPr>
                <w:rFonts w:ascii="Times New Roman" w:eastAsia="Times New Roman" w:hAnsi="Times New Roman" w:cs="Times New Roman"/>
                <w:lang w:eastAsia="tr-TR"/>
              </w:rPr>
              <w:t>destek ve teşvik kapsamında değerlendirileceği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belirtilmiştir. Daha önce bu harcamaların indirilmesine izin verilmemekteydi. </w:t>
            </w:r>
          </w:p>
          <w:p w:rsidR="00694C93" w:rsidRDefault="00694C93" w:rsidP="00FB069F">
            <w:pPr>
              <w:spacing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</w:tc>
      </w:tr>
    </w:tbl>
    <w:p w:rsidR="00694C93" w:rsidRDefault="00694C93">
      <w:pPr>
        <w:spacing w:after="160" w:line="259" w:lineRule="auto"/>
      </w:pPr>
    </w:p>
    <w:p w:rsidR="00572340" w:rsidRDefault="00572340">
      <w:pPr>
        <w:spacing w:after="160" w:line="259" w:lineRule="auto"/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44108112" wp14:editId="483460FC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340" w:rsidRPr="00300929" w:rsidRDefault="00572340" w:rsidP="0057234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00929">
        <w:rPr>
          <w:rFonts w:ascii="Arial" w:hAnsi="Arial" w:cs="Arial"/>
          <w:b/>
          <w:color w:val="00B0F0"/>
          <w:sz w:val="24"/>
          <w:szCs w:val="24"/>
        </w:rPr>
        <w:t>BAKIŞ YMM VE BAĞIMSIZ DENETİM A.Ş</w:t>
      </w:r>
    </w:p>
    <w:p w:rsidR="00572340" w:rsidRPr="00300929" w:rsidRDefault="00572340" w:rsidP="0057234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00929">
        <w:rPr>
          <w:rFonts w:ascii="Arial" w:hAnsi="Arial" w:cs="Arial"/>
          <w:b/>
          <w:color w:val="00B0F0"/>
          <w:sz w:val="24"/>
          <w:szCs w:val="24"/>
        </w:rPr>
        <w:t xml:space="preserve">              YEMİNLİ MALİ MÜŞAVİR</w:t>
      </w:r>
    </w:p>
    <w:p w:rsidR="00572340" w:rsidRDefault="00572340" w:rsidP="005723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0929">
        <w:rPr>
          <w:rFonts w:ascii="Arial" w:eastAsia="Times New Roman" w:hAnsi="Arial" w:cs="Arial"/>
          <w:b/>
          <w:color w:val="00B0F0"/>
          <w:sz w:val="24"/>
          <w:szCs w:val="24"/>
          <w:lang w:eastAsia="tr-TR"/>
        </w:rPr>
        <w:t xml:space="preserve">                     İLHAN A</w:t>
      </w:r>
      <w:bookmarkStart w:id="0" w:name="_GoBack"/>
      <w:bookmarkEnd w:id="0"/>
      <w:r w:rsidRPr="00300929">
        <w:rPr>
          <w:rFonts w:ascii="Arial" w:eastAsia="Times New Roman" w:hAnsi="Arial" w:cs="Arial"/>
          <w:b/>
          <w:color w:val="00B0F0"/>
          <w:sz w:val="24"/>
          <w:szCs w:val="24"/>
          <w:lang w:eastAsia="tr-TR"/>
        </w:rPr>
        <w:t>LKILIÇ</w:t>
      </w:r>
    </w:p>
    <w:p w:rsidR="00572340" w:rsidRDefault="00572340" w:rsidP="005723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572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ED11FC" w:rsidRPr="00ED11FC" w:rsidTr="00ED11FC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FC" w:rsidRPr="00ED11FC" w:rsidRDefault="0076038E" w:rsidP="00ED11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lastRenderedPageBreak/>
              <w:br w:type="page"/>
            </w:r>
            <w:r w:rsidR="00ED11FC" w:rsidRPr="00ED11F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 Mart 2017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FC" w:rsidRPr="00ED11FC" w:rsidRDefault="00ED11FC" w:rsidP="00ED1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1FC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FC" w:rsidRPr="00ED11FC" w:rsidRDefault="00ED11FC" w:rsidP="00ED11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D11F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30001</w:t>
            </w:r>
            <w:proofErr w:type="gramEnd"/>
          </w:p>
        </w:tc>
      </w:tr>
      <w:tr w:rsidR="00ED11FC" w:rsidRPr="00ED11FC" w:rsidTr="00ED11FC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FC" w:rsidRPr="00ED11FC" w:rsidRDefault="00ED11FC" w:rsidP="00ED1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1F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ED11FC" w:rsidRPr="00ED11FC" w:rsidTr="00ED11FC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FC" w:rsidRPr="00ED11FC" w:rsidRDefault="00ED11FC" w:rsidP="00ED11F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Maliye Bakanlığı (Gelir İdaresi Başkanlığı)’</w:t>
            </w:r>
            <w:proofErr w:type="spellStart"/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ndan</w:t>
            </w:r>
            <w:proofErr w:type="spellEnd"/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:</w:t>
            </w:r>
          </w:p>
          <w:p w:rsidR="00ED11FC" w:rsidRPr="00ED11FC" w:rsidRDefault="00ED11FC" w:rsidP="00ED1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ED1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5746 SAYILI ARAŞTIRMA, GELİŞTİRME VE TASARIM FAALİYETLERİNİN</w:t>
            </w:r>
          </w:p>
          <w:p w:rsidR="00ED11FC" w:rsidRPr="00ED11FC" w:rsidRDefault="00ED11FC" w:rsidP="00ED1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ED1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DESTEKLENMESİ HAKKINDA KANUN GENEL TEBLİĞİ (SERİ NO: 4)’NDE</w:t>
            </w:r>
          </w:p>
          <w:p w:rsidR="00ED11FC" w:rsidRPr="00ED11FC" w:rsidRDefault="00ED11FC" w:rsidP="00ED1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ED1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DEĞİŞİKLİK YAPILMASINA DAİR TEBLİĞ</w:t>
            </w:r>
          </w:p>
          <w:p w:rsidR="00ED11FC" w:rsidRPr="00ED11FC" w:rsidRDefault="00ED11FC" w:rsidP="00ED1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ED1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(SERİ NO: 7)</w:t>
            </w:r>
          </w:p>
          <w:p w:rsidR="00ED11FC" w:rsidRPr="00ED11FC" w:rsidRDefault="00ED11FC" w:rsidP="00ED11F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ED1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30/9/2016</w:t>
            </w:r>
            <w:proofErr w:type="gramEnd"/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29843 sayılı Resmî Gazete’de yayımlanan 5746 Sayılı Araştırma, Geliştirme ve Tasarım Faaliyetlerinin Desteklenmesi Hakkında Kanun Genel Tebliği (Seri No: 4)’</w:t>
            </w:r>
            <w:proofErr w:type="spellStart"/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3 üncü maddesinin </w:t>
            </w:r>
            <w:proofErr w:type="spellStart"/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onikincifıkrası</w:t>
            </w:r>
            <w:proofErr w:type="spellEnd"/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yürürlükten kaldırılmıştır.</w:t>
            </w:r>
          </w:p>
          <w:p w:rsidR="00ED11FC" w:rsidRPr="00ED11FC" w:rsidRDefault="00ED11FC" w:rsidP="00ED11F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ED1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yayımı tarihinde yürürlüğe girer.</w:t>
            </w:r>
          </w:p>
          <w:p w:rsidR="00ED11FC" w:rsidRPr="00ED11FC" w:rsidRDefault="00ED11FC" w:rsidP="00ED11F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ED1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ED1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hükümlerini Maliye Bakanı yürütür.</w:t>
            </w:r>
          </w:p>
          <w:p w:rsidR="00ED11FC" w:rsidRPr="00ED11FC" w:rsidRDefault="00ED11FC" w:rsidP="00ED1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11F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76038E" w:rsidRDefault="0076038E">
      <w:pPr>
        <w:spacing w:after="160" w:line="259" w:lineRule="auto"/>
      </w:pPr>
    </w:p>
    <w:sectPr w:rsidR="0076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3393"/>
    <w:multiLevelType w:val="hybridMultilevel"/>
    <w:tmpl w:val="8166BCA0"/>
    <w:lvl w:ilvl="0" w:tplc="6A8E5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05D5"/>
    <w:multiLevelType w:val="hybridMultilevel"/>
    <w:tmpl w:val="5F06BF1E"/>
    <w:lvl w:ilvl="0" w:tplc="DC1234D0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0FE1"/>
    <w:multiLevelType w:val="hybridMultilevel"/>
    <w:tmpl w:val="D16CA48E"/>
    <w:lvl w:ilvl="0" w:tplc="F8A6B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84126"/>
    <w:multiLevelType w:val="hybridMultilevel"/>
    <w:tmpl w:val="1E5E8504"/>
    <w:lvl w:ilvl="0" w:tplc="2BF0211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86"/>
    <w:rsid w:val="000A3386"/>
    <w:rsid w:val="00134AB3"/>
    <w:rsid w:val="002D4E91"/>
    <w:rsid w:val="003642D0"/>
    <w:rsid w:val="0037503F"/>
    <w:rsid w:val="003A1F19"/>
    <w:rsid w:val="003E2FC8"/>
    <w:rsid w:val="00413D66"/>
    <w:rsid w:val="00483D3F"/>
    <w:rsid w:val="004D20F1"/>
    <w:rsid w:val="00572340"/>
    <w:rsid w:val="005B5303"/>
    <w:rsid w:val="00613D86"/>
    <w:rsid w:val="006463B4"/>
    <w:rsid w:val="00694C93"/>
    <w:rsid w:val="006E20C0"/>
    <w:rsid w:val="0076038E"/>
    <w:rsid w:val="007809BC"/>
    <w:rsid w:val="00791C7D"/>
    <w:rsid w:val="007D3DA8"/>
    <w:rsid w:val="008155D7"/>
    <w:rsid w:val="00876630"/>
    <w:rsid w:val="009016F2"/>
    <w:rsid w:val="00917CB8"/>
    <w:rsid w:val="00965C43"/>
    <w:rsid w:val="009A27C4"/>
    <w:rsid w:val="00A462C9"/>
    <w:rsid w:val="00B450E0"/>
    <w:rsid w:val="00C109AB"/>
    <w:rsid w:val="00C17B9A"/>
    <w:rsid w:val="00D70E94"/>
    <w:rsid w:val="00E5223D"/>
    <w:rsid w:val="00EA3D86"/>
    <w:rsid w:val="00ED11FC"/>
    <w:rsid w:val="00F374F8"/>
    <w:rsid w:val="00F63849"/>
    <w:rsid w:val="00F85E14"/>
    <w:rsid w:val="00FA78F6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FA227-DBDE-4825-B4A5-D5ECB175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86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3D86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13D86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613D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E94"/>
    <w:rPr>
      <w:rFonts w:ascii="Segoe UI" w:hAnsi="Segoe UI" w:cs="Segoe UI"/>
      <w:sz w:val="18"/>
      <w:szCs w:val="18"/>
      <w:lang w:val="tr-TR"/>
    </w:rPr>
  </w:style>
  <w:style w:type="paragraph" w:customStyle="1" w:styleId="Default">
    <w:name w:val="Default"/>
    <w:uiPriority w:val="99"/>
    <w:rsid w:val="005B530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ED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D11FC"/>
  </w:style>
  <w:style w:type="paragraph" w:customStyle="1" w:styleId="ortabalkbold">
    <w:name w:val="ortabalkbold"/>
    <w:basedOn w:val="Normal"/>
    <w:rsid w:val="00ED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ED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D11FC"/>
  </w:style>
  <w:style w:type="character" w:customStyle="1" w:styleId="grame">
    <w:name w:val="grame"/>
    <w:basedOn w:val="VarsaylanParagrafYazTipi"/>
    <w:rsid w:val="00E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A12C-1F96-48CD-854E-1ED1FF36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OZ</dc:creator>
  <cp:keywords/>
  <dc:description/>
  <cp:lastModifiedBy>petek çelebi</cp:lastModifiedBy>
  <cp:revision>2</cp:revision>
  <cp:lastPrinted>2015-12-22T23:57:00Z</cp:lastPrinted>
  <dcterms:created xsi:type="dcterms:W3CDTF">2017-03-09T06:34:00Z</dcterms:created>
  <dcterms:modified xsi:type="dcterms:W3CDTF">2017-03-09T06:34:00Z</dcterms:modified>
</cp:coreProperties>
</file>