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676" w:rsidRDefault="009962DC">
      <w:r w:rsidRPr="00217F41">
        <w:rPr>
          <w:rFonts w:ascii="Cambria" w:hAnsi="Cambria"/>
          <w:noProof/>
          <w:spacing w:val="-4"/>
          <w:lang w:eastAsia="tr-TR"/>
        </w:rPr>
        <w:drawing>
          <wp:inline distT="0" distB="0" distL="0" distR="0" wp14:anchorId="22929B8F" wp14:editId="6D66839B">
            <wp:extent cx="1871345" cy="469265"/>
            <wp:effectExtent l="0" t="0" r="0" b="698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34"/>
        <w:gridCol w:w="7128"/>
      </w:tblGrid>
      <w:tr w:rsidR="000A5676" w:rsidRPr="000A5676" w:rsidTr="0043626D">
        <w:tc>
          <w:tcPr>
            <w:tcW w:w="9187" w:type="dxa"/>
            <w:gridSpan w:val="2"/>
          </w:tcPr>
          <w:p w:rsidR="000A5676" w:rsidRPr="00492F39" w:rsidRDefault="000A5676" w:rsidP="009962DC">
            <w:pPr>
              <w:spacing w:line="260" w:lineRule="atLeast"/>
              <w:jc w:val="center"/>
              <w:outlineLvl w:val="0"/>
              <w:rPr>
                <w:rFonts w:ascii="Cambria" w:eastAsia="Times New Roman" w:hAnsi="Cambria" w:cs="Times New Roman"/>
                <w:color w:val="000099"/>
                <w:lang w:eastAsia="tr-TR"/>
              </w:rPr>
            </w:pPr>
          </w:p>
          <w:p w:rsidR="000A5676" w:rsidRPr="00492F39" w:rsidRDefault="000A5676" w:rsidP="009962DC">
            <w:pPr>
              <w:spacing w:line="260" w:lineRule="atLeast"/>
              <w:jc w:val="center"/>
              <w:outlineLvl w:val="0"/>
              <w:rPr>
                <w:rFonts w:ascii="Cambria" w:eastAsia="Times New Roman" w:hAnsi="Cambria" w:cs="Times New Roman"/>
                <w:b/>
                <w:color w:val="000099"/>
                <w:lang w:eastAsia="tr-TR"/>
              </w:rPr>
            </w:pPr>
            <w:r w:rsidRPr="00492F39">
              <w:rPr>
                <w:rFonts w:ascii="Cambria" w:eastAsia="Times New Roman" w:hAnsi="Cambria" w:cs="Times New Roman"/>
                <w:b/>
                <w:color w:val="000099"/>
                <w:lang w:eastAsia="tr-TR"/>
              </w:rPr>
              <w:t>BAKIŞ MEVZUAT</w:t>
            </w:r>
          </w:p>
          <w:p w:rsidR="000A5676" w:rsidRPr="00492F39" w:rsidRDefault="000A5676" w:rsidP="0072768D">
            <w:pPr>
              <w:spacing w:line="260" w:lineRule="atLeast"/>
              <w:jc w:val="both"/>
              <w:outlineLvl w:val="0"/>
              <w:rPr>
                <w:rFonts w:ascii="Cambria" w:eastAsia="Times New Roman" w:hAnsi="Cambria" w:cs="Times New Roman"/>
                <w:color w:val="000099"/>
                <w:lang w:eastAsia="tr-TR"/>
              </w:rPr>
            </w:pPr>
          </w:p>
        </w:tc>
      </w:tr>
      <w:tr w:rsidR="0043626D" w:rsidRPr="000A5676" w:rsidTr="001C6AA1">
        <w:tc>
          <w:tcPr>
            <w:tcW w:w="1951" w:type="dxa"/>
          </w:tcPr>
          <w:p w:rsidR="0043626D" w:rsidRPr="00492F39" w:rsidRDefault="0043626D" w:rsidP="00B47292">
            <w:pPr>
              <w:spacing w:line="260" w:lineRule="atLeast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99"/>
                <w:sz w:val="24"/>
                <w:szCs w:val="24"/>
                <w:lang w:eastAsia="tr-TR"/>
              </w:rPr>
            </w:pPr>
          </w:p>
          <w:p w:rsidR="0043626D" w:rsidRPr="00492F39" w:rsidRDefault="0043626D" w:rsidP="00B47292">
            <w:pPr>
              <w:spacing w:line="260" w:lineRule="atLeast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99"/>
                <w:sz w:val="24"/>
                <w:szCs w:val="24"/>
                <w:lang w:eastAsia="tr-TR"/>
              </w:rPr>
            </w:pPr>
          </w:p>
          <w:p w:rsidR="0043626D" w:rsidRPr="00492F39" w:rsidRDefault="0043626D" w:rsidP="00B47292">
            <w:pPr>
              <w:spacing w:line="260" w:lineRule="atLeast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99"/>
                <w:sz w:val="24"/>
                <w:szCs w:val="24"/>
                <w:lang w:eastAsia="tr-TR"/>
              </w:rPr>
            </w:pPr>
            <w:r w:rsidRPr="00492F39">
              <w:rPr>
                <w:rFonts w:ascii="Times New Roman" w:eastAsia="Times New Roman" w:hAnsi="Times New Roman" w:cs="Times New Roman"/>
                <w:b/>
                <w:color w:val="000099"/>
                <w:sz w:val="24"/>
                <w:szCs w:val="24"/>
                <w:lang w:eastAsia="tr-TR"/>
              </w:rPr>
              <w:t xml:space="preserve">BAŞLIK </w:t>
            </w:r>
          </w:p>
        </w:tc>
        <w:tc>
          <w:tcPr>
            <w:tcW w:w="7236" w:type="dxa"/>
          </w:tcPr>
          <w:p w:rsidR="0043626D" w:rsidRPr="00557210" w:rsidRDefault="0043626D" w:rsidP="00557210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99"/>
                <w:spacing w:val="-4"/>
                <w:sz w:val="24"/>
                <w:szCs w:val="24"/>
                <w:lang w:eastAsia="tr-TR"/>
              </w:rPr>
            </w:pPr>
          </w:p>
          <w:p w:rsidR="0043626D" w:rsidRPr="00557210" w:rsidRDefault="0043626D" w:rsidP="00557210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99"/>
                <w:spacing w:val="-4"/>
                <w:sz w:val="24"/>
                <w:szCs w:val="24"/>
                <w:lang w:eastAsia="tr-TR"/>
              </w:rPr>
            </w:pPr>
          </w:p>
          <w:p w:rsidR="003C73AD" w:rsidRPr="003C73AD" w:rsidRDefault="003C73AD" w:rsidP="006076E3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Batang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3C73AD">
              <w:rPr>
                <w:rFonts w:ascii="Times New Roman" w:eastAsia="Batang" w:hAnsi="Times New Roman" w:cs="Times New Roman"/>
                <w:b/>
                <w:color w:val="1F497D" w:themeColor="text2"/>
                <w:sz w:val="24"/>
                <w:szCs w:val="24"/>
              </w:rPr>
              <w:t>KATMA DEĞER VERGİSİ GENEL UYGULAMA TEBLİĞİNDE</w:t>
            </w:r>
          </w:p>
          <w:p w:rsidR="003C73AD" w:rsidRPr="003C73AD" w:rsidRDefault="003C73AD" w:rsidP="006076E3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Batang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3C73AD">
              <w:rPr>
                <w:rFonts w:ascii="Times New Roman" w:eastAsia="Batang" w:hAnsi="Times New Roman" w:cs="Times New Roman"/>
                <w:b/>
                <w:color w:val="1F497D" w:themeColor="text2"/>
                <w:sz w:val="24"/>
                <w:szCs w:val="24"/>
              </w:rPr>
              <w:t>DEĞİŞİKLİK YAPILMASINA DAİR TEBLİĞ</w:t>
            </w:r>
          </w:p>
          <w:p w:rsidR="0043626D" w:rsidRPr="007A0257" w:rsidRDefault="003C73AD" w:rsidP="009C7E10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99"/>
                <w:spacing w:val="-4"/>
                <w:sz w:val="24"/>
                <w:szCs w:val="24"/>
                <w:lang w:eastAsia="tr-TR"/>
              </w:rPr>
            </w:pPr>
            <w:proofErr w:type="gramStart"/>
            <w:r w:rsidRPr="003C73AD">
              <w:rPr>
                <w:rFonts w:ascii="Times New Roman" w:eastAsia="Batang" w:hAnsi="Times New Roman" w:cs="Times New Roman"/>
                <w:b/>
                <w:color w:val="1F497D" w:themeColor="text2"/>
                <w:sz w:val="24"/>
                <w:szCs w:val="24"/>
              </w:rPr>
              <w:t>(</w:t>
            </w:r>
            <w:proofErr w:type="gramEnd"/>
            <w:r w:rsidRPr="003C73AD">
              <w:rPr>
                <w:rFonts w:ascii="Times New Roman" w:eastAsia="Batang" w:hAnsi="Times New Roman" w:cs="Times New Roman"/>
                <w:b/>
                <w:color w:val="1F497D" w:themeColor="text2"/>
                <w:sz w:val="24"/>
                <w:szCs w:val="24"/>
              </w:rPr>
              <w:t xml:space="preserve">SERİ NO: </w:t>
            </w:r>
            <w:r w:rsidR="009C7E10">
              <w:rPr>
                <w:rFonts w:ascii="Times New Roman" w:eastAsia="Batang" w:hAnsi="Times New Roman" w:cs="Times New Roman"/>
                <w:b/>
                <w:color w:val="1F497D" w:themeColor="text2"/>
                <w:sz w:val="24"/>
                <w:szCs w:val="24"/>
              </w:rPr>
              <w:t>4</w:t>
            </w:r>
          </w:p>
        </w:tc>
      </w:tr>
      <w:tr w:rsidR="0043626D" w:rsidRPr="000A5676" w:rsidTr="007311D3">
        <w:tc>
          <w:tcPr>
            <w:tcW w:w="1951" w:type="dxa"/>
          </w:tcPr>
          <w:p w:rsidR="00104ECF" w:rsidRDefault="00104ECF" w:rsidP="008F74B7">
            <w:pPr>
              <w:spacing w:before="120" w:after="120" w:line="260" w:lineRule="atLeast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99"/>
                <w:sz w:val="24"/>
                <w:szCs w:val="24"/>
                <w:lang w:eastAsia="tr-TR"/>
              </w:rPr>
            </w:pPr>
          </w:p>
          <w:p w:rsidR="0043626D" w:rsidRPr="00492F39" w:rsidRDefault="0043626D" w:rsidP="008F74B7">
            <w:pPr>
              <w:spacing w:before="120" w:after="120" w:line="260" w:lineRule="atLeast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99"/>
                <w:sz w:val="24"/>
                <w:szCs w:val="24"/>
                <w:lang w:eastAsia="tr-TR"/>
              </w:rPr>
            </w:pPr>
            <w:r w:rsidRPr="00492F39">
              <w:rPr>
                <w:rFonts w:ascii="Times New Roman" w:eastAsia="Times New Roman" w:hAnsi="Times New Roman" w:cs="Times New Roman"/>
                <w:b/>
                <w:color w:val="000099"/>
                <w:sz w:val="24"/>
                <w:szCs w:val="24"/>
                <w:lang w:eastAsia="tr-TR"/>
              </w:rPr>
              <w:t xml:space="preserve">Sayı </w:t>
            </w:r>
          </w:p>
        </w:tc>
        <w:tc>
          <w:tcPr>
            <w:tcW w:w="7236" w:type="dxa"/>
          </w:tcPr>
          <w:p w:rsidR="0043626D" w:rsidRPr="00557210" w:rsidRDefault="00104ECF" w:rsidP="00754080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99"/>
                <w:spacing w:val="-4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99"/>
                <w:spacing w:val="-4"/>
                <w:sz w:val="24"/>
                <w:szCs w:val="24"/>
                <w:lang w:eastAsia="tr-TR"/>
              </w:rPr>
              <w:t xml:space="preserve"> </w:t>
            </w:r>
            <w:r w:rsidR="009962DC">
              <w:rPr>
                <w:rFonts w:ascii="Times New Roman" w:eastAsia="Times New Roman" w:hAnsi="Times New Roman" w:cs="Times New Roman"/>
                <w:color w:val="000099"/>
                <w:spacing w:val="-4"/>
                <w:sz w:val="24"/>
                <w:szCs w:val="24"/>
                <w:lang w:eastAsia="tr-TR"/>
              </w:rPr>
              <w:t>2017/12</w:t>
            </w:r>
          </w:p>
        </w:tc>
      </w:tr>
      <w:tr w:rsidR="0043626D" w:rsidRPr="000A5676" w:rsidTr="007A0257">
        <w:trPr>
          <w:trHeight w:val="1622"/>
        </w:trPr>
        <w:tc>
          <w:tcPr>
            <w:tcW w:w="1951" w:type="dxa"/>
          </w:tcPr>
          <w:p w:rsidR="0043626D" w:rsidRPr="00492F39" w:rsidRDefault="0043626D" w:rsidP="000A5676">
            <w:pPr>
              <w:spacing w:line="260" w:lineRule="atLeast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99"/>
                <w:sz w:val="24"/>
                <w:szCs w:val="24"/>
                <w:lang w:eastAsia="tr-TR"/>
              </w:rPr>
            </w:pPr>
          </w:p>
          <w:p w:rsidR="0043626D" w:rsidRPr="00492F39" w:rsidRDefault="0043626D" w:rsidP="000A5676">
            <w:pPr>
              <w:spacing w:line="260" w:lineRule="atLeast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99"/>
                <w:sz w:val="24"/>
                <w:szCs w:val="24"/>
                <w:lang w:eastAsia="tr-TR"/>
              </w:rPr>
            </w:pPr>
            <w:r w:rsidRPr="00492F39">
              <w:rPr>
                <w:rFonts w:ascii="Times New Roman" w:eastAsia="Times New Roman" w:hAnsi="Times New Roman" w:cs="Times New Roman"/>
                <w:b/>
                <w:color w:val="000099"/>
                <w:sz w:val="24"/>
                <w:szCs w:val="24"/>
                <w:lang w:eastAsia="tr-TR"/>
              </w:rPr>
              <w:t xml:space="preserve">ÖZET </w:t>
            </w:r>
          </w:p>
        </w:tc>
        <w:tc>
          <w:tcPr>
            <w:tcW w:w="7236" w:type="dxa"/>
          </w:tcPr>
          <w:p w:rsidR="0043626D" w:rsidRPr="00492F39" w:rsidRDefault="0043626D" w:rsidP="000A5676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99"/>
                <w:spacing w:val="-4"/>
                <w:sz w:val="24"/>
                <w:szCs w:val="24"/>
                <w:lang w:eastAsia="tr-TR"/>
              </w:rPr>
            </w:pPr>
          </w:p>
          <w:p w:rsidR="0043626D" w:rsidRPr="00557210" w:rsidRDefault="00F04CFA" w:rsidP="009C7E10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99"/>
                <w:spacing w:val="-4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99"/>
                <w:spacing w:val="-4"/>
                <w:sz w:val="24"/>
                <w:szCs w:val="24"/>
                <w:lang w:eastAsia="tr-TR"/>
              </w:rPr>
              <w:t>Tebliğde</w:t>
            </w:r>
            <w:r w:rsidR="008E560A">
              <w:rPr>
                <w:rFonts w:ascii="Times New Roman" w:eastAsia="Times New Roman" w:hAnsi="Times New Roman" w:cs="Times New Roman"/>
                <w:color w:val="000099"/>
                <w:spacing w:val="-4"/>
                <w:sz w:val="24"/>
                <w:szCs w:val="24"/>
                <w:lang w:eastAsia="tr-TR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99"/>
                <w:spacing w:val="-4"/>
                <w:sz w:val="24"/>
                <w:szCs w:val="24"/>
                <w:lang w:eastAsia="tr-TR"/>
              </w:rPr>
              <w:t xml:space="preserve"> </w:t>
            </w:r>
            <w:r w:rsidRPr="00F04CFA">
              <w:rPr>
                <w:rFonts w:ascii="Times New Roman" w:eastAsia="Times New Roman" w:hAnsi="Times New Roman" w:cs="Times New Roman"/>
                <w:color w:val="000099"/>
                <w:spacing w:val="-4"/>
                <w:sz w:val="24"/>
                <w:szCs w:val="24"/>
                <w:lang w:eastAsia="tr-TR"/>
              </w:rPr>
              <w:t>Katma Değer Vergisi Kanunu</w:t>
            </w:r>
            <w:r w:rsidR="006076E3">
              <w:rPr>
                <w:rFonts w:ascii="Times New Roman" w:eastAsia="Times New Roman" w:hAnsi="Times New Roman" w:cs="Times New Roman"/>
                <w:color w:val="000099"/>
                <w:spacing w:val="-4"/>
                <w:sz w:val="24"/>
                <w:szCs w:val="24"/>
                <w:lang w:eastAsia="tr-TR"/>
              </w:rPr>
              <w:t>’</w:t>
            </w:r>
            <w:r w:rsidRPr="00F04CFA">
              <w:rPr>
                <w:rFonts w:ascii="Times New Roman" w:eastAsia="Times New Roman" w:hAnsi="Times New Roman" w:cs="Times New Roman"/>
                <w:color w:val="000099"/>
                <w:spacing w:val="-4"/>
                <w:sz w:val="24"/>
                <w:szCs w:val="24"/>
                <w:lang w:eastAsia="tr-TR"/>
              </w:rPr>
              <w:t xml:space="preserve">nun 29/2 fıkrası </w:t>
            </w:r>
            <w:r w:rsidR="006076E3">
              <w:rPr>
                <w:rFonts w:ascii="Times New Roman" w:eastAsia="Times New Roman" w:hAnsi="Times New Roman" w:cs="Times New Roman"/>
                <w:color w:val="000099"/>
                <w:spacing w:val="-4"/>
                <w:sz w:val="24"/>
                <w:szCs w:val="24"/>
                <w:lang w:eastAsia="tr-TR"/>
              </w:rPr>
              <w:t xml:space="preserve">uyarınca </w:t>
            </w:r>
            <w:r w:rsidR="006076E3" w:rsidRPr="006076E3">
              <w:rPr>
                <w:rFonts w:ascii="Times New Roman" w:eastAsia="Times New Roman" w:hAnsi="Times New Roman" w:cs="Times New Roman"/>
                <w:color w:val="000099"/>
                <w:spacing w:val="-4"/>
                <w:sz w:val="24"/>
                <w:szCs w:val="24"/>
                <w:lang w:eastAsia="tr-TR"/>
              </w:rPr>
              <w:t>Bakanlar Kurulunca vergi oranları indirilen teslim ve hizmetler dolayısıyla yüklenilen ve indirim yoluyla giderilemeyen KDV tutarının iade konusu yapılamayacak kısmıyla ilgili sınır</w:t>
            </w:r>
            <w:r w:rsidR="006076E3">
              <w:rPr>
                <w:rFonts w:ascii="Times New Roman" w:eastAsia="Times New Roman" w:hAnsi="Times New Roman" w:cs="Times New Roman"/>
                <w:color w:val="000099"/>
                <w:spacing w:val="-4"/>
                <w:sz w:val="24"/>
                <w:szCs w:val="24"/>
                <w:lang w:eastAsia="tr-TR"/>
              </w:rPr>
              <w:t xml:space="preserve">, </w:t>
            </w:r>
            <w:proofErr w:type="gramStart"/>
            <w:r w:rsidR="006076E3" w:rsidRPr="006076E3">
              <w:rPr>
                <w:rFonts w:ascii="Times New Roman" w:eastAsia="Times New Roman" w:hAnsi="Times New Roman" w:cs="Times New Roman"/>
                <w:color w:val="000099"/>
                <w:spacing w:val="-4"/>
                <w:sz w:val="24"/>
                <w:szCs w:val="24"/>
                <w:lang w:eastAsia="tr-TR"/>
              </w:rPr>
              <w:t>201</w:t>
            </w:r>
            <w:r w:rsidR="009C7E10">
              <w:rPr>
                <w:rFonts w:ascii="Times New Roman" w:eastAsia="Times New Roman" w:hAnsi="Times New Roman" w:cs="Times New Roman"/>
                <w:color w:val="000099"/>
                <w:spacing w:val="-4"/>
                <w:sz w:val="24"/>
                <w:szCs w:val="24"/>
                <w:lang w:eastAsia="tr-TR"/>
              </w:rPr>
              <w:t xml:space="preserve">7 </w:t>
            </w:r>
            <w:r w:rsidR="006076E3" w:rsidRPr="006076E3">
              <w:rPr>
                <w:rFonts w:ascii="Times New Roman" w:eastAsia="Times New Roman" w:hAnsi="Times New Roman" w:cs="Times New Roman"/>
                <w:color w:val="000099"/>
                <w:spacing w:val="-4"/>
                <w:sz w:val="24"/>
                <w:szCs w:val="24"/>
                <w:lang w:eastAsia="tr-TR"/>
              </w:rPr>
              <w:t xml:space="preserve"> yılı</w:t>
            </w:r>
            <w:proofErr w:type="gramEnd"/>
            <w:r w:rsidR="006076E3" w:rsidRPr="006076E3">
              <w:rPr>
                <w:rFonts w:ascii="Times New Roman" w:eastAsia="Times New Roman" w:hAnsi="Times New Roman" w:cs="Times New Roman"/>
                <w:color w:val="000099"/>
                <w:spacing w:val="-4"/>
                <w:sz w:val="24"/>
                <w:szCs w:val="24"/>
                <w:lang w:eastAsia="tr-TR"/>
              </w:rPr>
              <w:t xml:space="preserve"> için </w:t>
            </w:r>
            <w:r w:rsidR="009C7E10" w:rsidRPr="009C7E10">
              <w:rPr>
                <w:rFonts w:ascii="Times New Roman" w:eastAsia="Times New Roman" w:hAnsi="Times New Roman" w:cs="Times New Roman"/>
                <w:color w:val="000099"/>
                <w:spacing w:val="-4"/>
                <w:sz w:val="24"/>
                <w:szCs w:val="24"/>
                <w:lang w:eastAsia="tr-TR"/>
              </w:rPr>
              <w:t xml:space="preserve">21.400  </w:t>
            </w:r>
            <w:r w:rsidR="009C7E10">
              <w:rPr>
                <w:rFonts w:ascii="Times New Roman" w:eastAsia="Times New Roman" w:hAnsi="Times New Roman" w:cs="Times New Roman"/>
                <w:color w:val="000099"/>
                <w:spacing w:val="-4"/>
                <w:sz w:val="24"/>
                <w:szCs w:val="24"/>
                <w:lang w:eastAsia="tr-TR"/>
              </w:rPr>
              <w:t xml:space="preserve"> </w:t>
            </w:r>
            <w:r w:rsidR="006076E3" w:rsidRPr="006076E3">
              <w:rPr>
                <w:rFonts w:ascii="Times New Roman" w:eastAsia="Times New Roman" w:hAnsi="Times New Roman" w:cs="Times New Roman"/>
                <w:color w:val="000099"/>
                <w:spacing w:val="-4"/>
                <w:sz w:val="24"/>
                <w:szCs w:val="24"/>
                <w:lang w:eastAsia="tr-TR"/>
              </w:rPr>
              <w:t xml:space="preserve">TL </w:t>
            </w:r>
            <w:r w:rsidRPr="00F04CFA">
              <w:rPr>
                <w:rFonts w:ascii="Times New Roman" w:eastAsia="Times New Roman" w:hAnsi="Times New Roman" w:cs="Times New Roman"/>
                <w:color w:val="000099"/>
                <w:spacing w:val="-4"/>
                <w:sz w:val="24"/>
                <w:szCs w:val="24"/>
                <w:lang w:eastAsia="tr-TR"/>
              </w:rPr>
              <w:t>olarak belirlendi.</w:t>
            </w:r>
          </w:p>
        </w:tc>
      </w:tr>
    </w:tbl>
    <w:p w:rsidR="000A5676" w:rsidRDefault="000A5676" w:rsidP="00A93676">
      <w:pPr>
        <w:spacing w:after="0" w:line="260" w:lineRule="atLeast"/>
        <w:jc w:val="both"/>
        <w:outlineLvl w:val="0"/>
        <w:rPr>
          <w:rFonts w:ascii="Cambria" w:eastAsia="Times New Roman" w:hAnsi="Cambria" w:cs="Times New Roman"/>
          <w:b/>
          <w:lang w:eastAsia="tr-TR"/>
        </w:rPr>
      </w:pPr>
    </w:p>
    <w:p w:rsidR="009C7E10" w:rsidRDefault="009C7E10" w:rsidP="009C7E10">
      <w:pPr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9C7E10" w:rsidRDefault="009C7E10" w:rsidP="009C7E10">
      <w:pPr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9C7E10">
        <w:rPr>
          <w:rFonts w:ascii="Times New Roman" w:eastAsia="Arial Unicode MS" w:hAnsi="Times New Roman" w:cs="Times New Roman"/>
          <w:bCs/>
          <w:sz w:val="24"/>
          <w:szCs w:val="24"/>
        </w:rPr>
        <w:t>27.12.2016 tarihli ve 29931 sayılı Resmi Gazete’de yayımlanan Katma Değer Vergisi Genel Uygulama Tebliğinde Değişiklik Yapılmasına Dair Tebliğ (</w:t>
      </w:r>
      <w:proofErr w:type="gramStart"/>
      <w:r w:rsidRPr="009C7E10">
        <w:rPr>
          <w:rFonts w:ascii="Times New Roman" w:eastAsia="Arial Unicode MS" w:hAnsi="Times New Roman" w:cs="Times New Roman"/>
          <w:bCs/>
          <w:sz w:val="24"/>
          <w:szCs w:val="24"/>
        </w:rPr>
        <w:t>Seri  No</w:t>
      </w:r>
      <w:proofErr w:type="gramEnd"/>
      <w:r w:rsidRPr="009C7E10">
        <w:rPr>
          <w:rFonts w:ascii="Times New Roman" w:eastAsia="Arial Unicode MS" w:hAnsi="Times New Roman" w:cs="Times New Roman"/>
          <w:bCs/>
          <w:sz w:val="24"/>
          <w:szCs w:val="24"/>
        </w:rPr>
        <w:t>:9) ile 26/04/2014 tarih ve 28983 sayılı Resmî Gazete’de yayımlanan Katma Değer Vergisi Genel Uygulama Tebliğinin “İndirimli Orana Tabi İşlemlerde İade Uygulaması” başlıklı (III/B-3) bölümünün üçüncü paragrafında yer alan “2016 yılı için 20.600 TL” ibaresi “2016 yılı için 20.600 TL, 2017 yılı için 21.400 TL” şeklinde değiştirilmiştir.</w:t>
      </w:r>
    </w:p>
    <w:p w:rsidR="009C7E10" w:rsidRPr="009C7E10" w:rsidRDefault="009C7E10" w:rsidP="009C7E10">
      <w:pPr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Buna </w:t>
      </w:r>
      <w:proofErr w:type="gramStart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göre </w:t>
      </w:r>
      <w:r w:rsidRPr="009C7E10">
        <w:rPr>
          <w:rFonts w:ascii="Times New Roman" w:eastAsia="Arial Unicode MS" w:hAnsi="Times New Roman" w:cs="Times New Roman"/>
          <w:bCs/>
          <w:sz w:val="24"/>
          <w:szCs w:val="24"/>
        </w:rPr>
        <w:t>; Katma</w:t>
      </w:r>
      <w:proofErr w:type="gramEnd"/>
      <w:r w:rsidRPr="009C7E10">
        <w:rPr>
          <w:rFonts w:ascii="Times New Roman" w:eastAsia="Arial Unicode MS" w:hAnsi="Times New Roman" w:cs="Times New Roman"/>
          <w:bCs/>
          <w:sz w:val="24"/>
          <w:szCs w:val="24"/>
        </w:rPr>
        <w:t xml:space="preserve"> Değer Vergisi Kanunu’nun 29/2 fıkrası uyarınca Bakanlar Kurulunca vergi oranları indirilen teslim ve hizmetler dolayısıyla yüklenilen ve indirim yoluyla giderilemeyen KDV tutarının iade konusu yapılamayacak kısmıyla ilgili sınır, 2017  yılı için 21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.400   TL olarak  uygulanacaktır. </w:t>
      </w:r>
    </w:p>
    <w:p w:rsidR="00492F39" w:rsidRDefault="009962DC" w:rsidP="00A93676">
      <w:pPr>
        <w:spacing w:after="0" w:line="260" w:lineRule="atLeast"/>
        <w:jc w:val="both"/>
        <w:outlineLvl w:val="0"/>
        <w:rPr>
          <w:rFonts w:ascii="Cambria" w:eastAsia="Times New Roman" w:hAnsi="Cambria" w:cs="Times New Roman"/>
          <w:b/>
          <w:lang w:eastAsia="tr-TR"/>
        </w:rPr>
      </w:pPr>
      <w:r w:rsidRPr="00217F41">
        <w:rPr>
          <w:rFonts w:ascii="Cambria" w:hAnsi="Cambria"/>
          <w:noProof/>
          <w:spacing w:val="-4"/>
          <w:lang w:eastAsia="tr-TR"/>
        </w:rPr>
        <w:drawing>
          <wp:inline distT="0" distB="0" distL="0" distR="0" wp14:anchorId="22929B8F" wp14:editId="6D66839B">
            <wp:extent cx="1871345" cy="469265"/>
            <wp:effectExtent l="0" t="0" r="0" b="698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62DC" w:rsidRPr="0004568E" w:rsidRDefault="009962DC" w:rsidP="009962DC">
      <w:pPr>
        <w:pStyle w:val="AralkYok"/>
        <w:rPr>
          <w:b/>
          <w:color w:val="00B0F0"/>
          <w:sz w:val="28"/>
          <w:szCs w:val="28"/>
        </w:rPr>
      </w:pPr>
      <w:r w:rsidRPr="0004568E">
        <w:rPr>
          <w:b/>
          <w:color w:val="00B0F0"/>
          <w:sz w:val="28"/>
          <w:szCs w:val="28"/>
        </w:rPr>
        <w:t>BAKIŞ YMM VE BAĞIMSIZ DENETİM A.Ş</w:t>
      </w:r>
    </w:p>
    <w:p w:rsidR="009962DC" w:rsidRPr="0004568E" w:rsidRDefault="009962DC" w:rsidP="009962DC">
      <w:pPr>
        <w:pStyle w:val="AralkYok"/>
        <w:rPr>
          <w:b/>
          <w:color w:val="00B0F0"/>
          <w:sz w:val="28"/>
          <w:szCs w:val="28"/>
        </w:rPr>
      </w:pPr>
      <w:r w:rsidRPr="0004568E">
        <w:rPr>
          <w:b/>
          <w:color w:val="00B0F0"/>
          <w:sz w:val="28"/>
          <w:szCs w:val="28"/>
        </w:rPr>
        <w:t xml:space="preserve">              YEMİNLİ MALİ MÜŞAVİR</w:t>
      </w:r>
    </w:p>
    <w:p w:rsidR="009962DC" w:rsidRDefault="009962DC" w:rsidP="009962D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68E">
        <w:rPr>
          <w:b/>
          <w:color w:val="00B0F0"/>
          <w:sz w:val="28"/>
          <w:szCs w:val="28"/>
        </w:rPr>
        <w:t xml:space="preserve">                </w:t>
      </w:r>
      <w:r>
        <w:rPr>
          <w:b/>
          <w:color w:val="00B0F0"/>
          <w:sz w:val="28"/>
          <w:szCs w:val="28"/>
        </w:rPr>
        <w:t xml:space="preserve">  </w:t>
      </w:r>
      <w:r w:rsidRPr="0004568E">
        <w:rPr>
          <w:b/>
          <w:color w:val="00B0F0"/>
          <w:sz w:val="28"/>
          <w:szCs w:val="28"/>
        </w:rPr>
        <w:t xml:space="preserve">  </w:t>
      </w:r>
      <w:r>
        <w:rPr>
          <w:b/>
          <w:color w:val="00B0F0"/>
          <w:sz w:val="28"/>
          <w:szCs w:val="28"/>
        </w:rPr>
        <w:t xml:space="preserve"> </w:t>
      </w:r>
      <w:r w:rsidRPr="0004568E">
        <w:rPr>
          <w:b/>
          <w:color w:val="00B0F0"/>
          <w:sz w:val="28"/>
          <w:szCs w:val="28"/>
        </w:rPr>
        <w:t>İLHAN ALKILIÇ</w:t>
      </w:r>
    </w:p>
    <w:p w:rsidR="009962DC" w:rsidRDefault="009962DC" w:rsidP="00A93676">
      <w:pPr>
        <w:spacing w:after="0" w:line="260" w:lineRule="atLeast"/>
        <w:jc w:val="both"/>
        <w:outlineLvl w:val="0"/>
        <w:rPr>
          <w:rFonts w:ascii="Cambria" w:eastAsia="Times New Roman" w:hAnsi="Cambria" w:cs="Times New Roman"/>
          <w:b/>
          <w:lang w:eastAsia="tr-TR"/>
        </w:rPr>
      </w:pPr>
      <w:bookmarkStart w:id="0" w:name="_GoBack"/>
      <w:bookmarkEnd w:id="0"/>
    </w:p>
    <w:sectPr w:rsidR="009962DC" w:rsidSect="00754080">
      <w:pgSz w:w="11906" w:h="16838"/>
      <w:pgMar w:top="1417" w:right="1417" w:bottom="1417" w:left="1417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2B7035"/>
    <w:multiLevelType w:val="hybridMultilevel"/>
    <w:tmpl w:val="501CB74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D0066B"/>
    <w:multiLevelType w:val="hybridMultilevel"/>
    <w:tmpl w:val="690A3B8C"/>
    <w:lvl w:ilvl="0" w:tplc="180852D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676"/>
    <w:rsid w:val="000325FA"/>
    <w:rsid w:val="000A5676"/>
    <w:rsid w:val="000E191F"/>
    <w:rsid w:val="000E6F91"/>
    <w:rsid w:val="00102356"/>
    <w:rsid w:val="00104ECF"/>
    <w:rsid w:val="001D3C09"/>
    <w:rsid w:val="001E7F5C"/>
    <w:rsid w:val="00234099"/>
    <w:rsid w:val="002419B9"/>
    <w:rsid w:val="002765E4"/>
    <w:rsid w:val="0031440A"/>
    <w:rsid w:val="00361DF5"/>
    <w:rsid w:val="00377653"/>
    <w:rsid w:val="003B4BD4"/>
    <w:rsid w:val="003C73AD"/>
    <w:rsid w:val="003E078F"/>
    <w:rsid w:val="0043626D"/>
    <w:rsid w:val="00492F39"/>
    <w:rsid w:val="00512749"/>
    <w:rsid w:val="00522AF5"/>
    <w:rsid w:val="00557210"/>
    <w:rsid w:val="005A0EA5"/>
    <w:rsid w:val="006076E3"/>
    <w:rsid w:val="00607BAE"/>
    <w:rsid w:val="006C557A"/>
    <w:rsid w:val="0070296C"/>
    <w:rsid w:val="00720F17"/>
    <w:rsid w:val="00734E07"/>
    <w:rsid w:val="00754080"/>
    <w:rsid w:val="00761AC4"/>
    <w:rsid w:val="00780115"/>
    <w:rsid w:val="0078078A"/>
    <w:rsid w:val="007910A6"/>
    <w:rsid w:val="007A0257"/>
    <w:rsid w:val="008C3B2E"/>
    <w:rsid w:val="008E26CA"/>
    <w:rsid w:val="008E560A"/>
    <w:rsid w:val="008F74B7"/>
    <w:rsid w:val="009962DC"/>
    <w:rsid w:val="009C7E10"/>
    <w:rsid w:val="00A23F81"/>
    <w:rsid w:val="00A93676"/>
    <w:rsid w:val="00AE1ABB"/>
    <w:rsid w:val="00C03AD3"/>
    <w:rsid w:val="00C73003"/>
    <w:rsid w:val="00CE05D8"/>
    <w:rsid w:val="00D424CE"/>
    <w:rsid w:val="00D818AC"/>
    <w:rsid w:val="00D975FB"/>
    <w:rsid w:val="00E73276"/>
    <w:rsid w:val="00EB78EA"/>
    <w:rsid w:val="00F04CFA"/>
    <w:rsid w:val="00F35777"/>
    <w:rsid w:val="00F41A52"/>
    <w:rsid w:val="00FB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B87F41-369F-4CBC-A3C7-3C097CA2C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93676"/>
    <w:pPr>
      <w:ind w:left="720"/>
      <w:contextualSpacing/>
    </w:pPr>
  </w:style>
  <w:style w:type="table" w:styleId="TabloKlavuzu">
    <w:name w:val="Table Grid"/>
    <w:basedOn w:val="NormalTablo"/>
    <w:uiPriority w:val="59"/>
    <w:rsid w:val="000A56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F7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74B7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9962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7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SEMIH OZ</dc:creator>
  <cp:lastModifiedBy>petek çelebi</cp:lastModifiedBy>
  <cp:revision>2</cp:revision>
  <cp:lastPrinted>2012-01-02T10:46:00Z</cp:lastPrinted>
  <dcterms:created xsi:type="dcterms:W3CDTF">2017-01-02T07:16:00Z</dcterms:created>
  <dcterms:modified xsi:type="dcterms:W3CDTF">2017-01-02T07:16:00Z</dcterms:modified>
</cp:coreProperties>
</file>